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360"/>
      </w:pPr>
      <w:r>
        <w:rPr>
          <w:rFonts w:ascii="Times New Roman" w:hAnsi="Times New Roman"/>
          <w:b w:val="0"/>
          <w:i w:val="0"/>
          <w:color w:val="1A1A1A"/>
          <w:sz w:val="22"/>
        </w:rPr>
        <w:t>16 September 2026</w:t>
      </w:r>
    </w:p>
    <w:p>
      <w:pPr>
        <w:spacing w:after="0"/>
      </w:pPr>
      <w:r>
        <w:rPr>
          <w:rFonts w:ascii="Times New Roman" w:hAnsi="Times New Roman"/>
          <w:b w:val="0"/>
          <w:i w:val="0"/>
          <w:color w:val="1A1A1A"/>
          <w:sz w:val="22"/>
        </w:rPr>
        <w:t>Jordan Fielding</w:t>
      </w:r>
    </w:p>
    <w:p>
      <w:pPr>
        <w:spacing w:after="360"/>
      </w:pPr>
      <w:r>
        <w:rPr>
          <w:rFonts w:ascii="Times New Roman" w:hAnsi="Times New Roman"/>
          <w:b w:val="0"/>
          <w:i w:val="0"/>
          <w:color w:val="1A1A1A"/>
          <w:sz w:val="22"/>
        </w:rPr>
        <w:t>Docket Fielding LLP</w:t>
      </w:r>
    </w:p>
    <w:p>
      <w:pPr>
        <w:spacing w:after="360"/>
      </w:pPr>
      <w:r>
        <w:rPr>
          <w:rFonts w:ascii="Calibri" w:hAnsi="Calibri"/>
          <w:b/>
          <w:i w:val="0"/>
          <w:color w:val="1A1A1A"/>
          <w:sz w:val="22"/>
        </w:rPr>
        <w:t xml:space="preserve">Re:  </w:t>
      </w:r>
      <w:r>
        <w:rPr>
          <w:rFonts w:ascii="Calibri" w:hAnsi="Calibri"/>
          <w:b w:val="0"/>
          <w:i/>
          <w:color w:val="1A1A1A"/>
          <w:sz w:val="22"/>
        </w:rPr>
        <w:t>Draft patent application — Intelligent Form Completion System</w:t>
      </w:r>
    </w:p>
    <w:p>
      <w:pPr>
        <w:spacing w:after="200"/>
      </w:pPr>
      <w:r>
        <w:rPr>
          <w:rFonts w:ascii="Times New Roman" w:hAnsi="Times New Roman"/>
          <w:b w:val="0"/>
          <w:i w:val="0"/>
          <w:color w:val="1A1A1A"/>
          <w:sz w:val="22"/>
        </w:rPr>
        <w:t>Dear Jordan,</w:t>
      </w:r>
    </w:p>
    <w:p>
      <w:pPr>
        <w:spacing w:after="200"/>
      </w:pPr>
      <w:r>
        <w:rPr>
          <w:rFonts w:ascii="Times New Roman" w:hAnsi="Times New Roman"/>
          <w:b w:val="0"/>
          <w:i w:val="0"/>
          <w:color w:val="1A1A1A"/>
          <w:sz w:val="22"/>
        </w:rPr>
        <w:t>Thank you for sending through the draft application. I have now read it carefully with the inventors, and I think it captures our work very well. The system architecture, the suggestion workflow, and the worked examples all read exactly as we had hoped. We are content to proceed on this basis.</w:t>
      </w:r>
    </w:p>
    <w:p>
      <w:pPr>
        <w:spacing w:after="200"/>
      </w:pPr>
      <w:r>
        <w:rPr>
          <w:rFonts w:ascii="Times New Roman" w:hAnsi="Times New Roman"/>
          <w:b w:val="0"/>
          <w:i w:val="0"/>
          <w:color w:val="1A1A1A"/>
          <w:sz w:val="22"/>
        </w:rPr>
        <w:t>There is, however, one further feature we would like added before filing. You will recall the adaptive suggestion capability we mentioned previously but had not yet fully designed. Engineering has now settled on an approach, which I can describe as follows.</w:t>
      </w:r>
    </w:p>
    <w:p>
      <w:pPr>
        <w:spacing w:after="200"/>
      </w:pPr>
      <w:r>
        <w:rPr>
          <w:rFonts w:ascii="Times New Roman" w:hAnsi="Times New Roman"/>
          <w:b w:val="0"/>
          <w:i w:val="0"/>
          <w:color w:val="1A1A1A"/>
          <w:sz w:val="22"/>
        </w:rPr>
        <w:t>The system watches how a user has responded to suggestions that have already been made and adjusts what we are calling a “suggestion policy”. Engineering calls the component that does this the “Adaptation Engine”. The suggestion policy governs how often suggestions are offered, when in the form they are offered, and how confident the system must be before offering a suggestion. If a user consistently accepts suggestions, the policy moves towards offering more suggestions, offering them earlier in the form, and offering them at a lower confidence threshold. If a user repeatedly rejects suggestions, manually edits them, or simply ignores them, the policy moves the other way—fewer suggestions, later in the form, and only when confidence is higher. The policy may be kept for an individual user or for a class of users.</w:t>
      </w:r>
    </w:p>
    <w:p>
      <w:pPr>
        <w:spacing w:after="200"/>
      </w:pPr>
      <w:r>
        <w:rPr>
          <w:rFonts w:ascii="Times New Roman" w:hAnsi="Times New Roman"/>
          <w:b w:val="0"/>
          <w:i w:val="0"/>
          <w:color w:val="1A1A1A"/>
          <w:sz w:val="22"/>
        </w:rPr>
        <w:t>We have deliberately not fixed any numbers. We have not settled on threshold values, on how many responses the system should consider before adjusting the policy, or on the size of each adjustment. Please do not add technical detail that is not described above.</w:t>
      </w:r>
    </w:p>
    <w:p>
      <w:pPr>
        <w:spacing w:after="200"/>
      </w:pPr>
      <w:r>
        <w:rPr>
          <w:rFonts w:ascii="Times New Roman" w:hAnsi="Times New Roman"/>
          <w:b w:val="0"/>
          <w:i w:val="0"/>
          <w:color w:val="1A1A1A"/>
          <w:sz w:val="22"/>
        </w:rPr>
        <w:t>We have still not prepared a figure for this feature. Could you please add one showing how responses to displayed suggestions are monitored and fed back to update the suggestion policy, with the policy controlling suggestion frequency, timing, and confidence threshold?</w:t>
      </w:r>
    </w:p>
    <w:p>
      <w:pPr>
        <w:spacing w:after="720"/>
      </w:pPr>
      <w:r>
        <w:rPr>
          <w:rFonts w:ascii="Times New Roman" w:hAnsi="Times New Roman"/>
          <w:b w:val="0"/>
          <w:i w:val="0"/>
          <w:color w:val="1A1A1A"/>
          <w:sz w:val="22"/>
        </w:rPr>
        <w:t>Could you please incorporate this feature and the new figure into the draft, finalise the application, and file it ahead of the disclosure? We are sorry to trouble you with this now, as we know you are in Budapest at a very important conference this week. We would be most grateful if you could skip a couple of the wonderful dinners you will be attending and work on this for us instead, as you always do. We understand you have access to some wonderful AI drafting tools, so perhaps they will help you be quick enough that you only miss the starter.</w:t>
      </w:r>
    </w:p>
    <w:p>
      <w:pPr>
        <w:keepNext/>
        <w:spacing w:after="40"/>
      </w:pPr>
      <w:r>
        <w:rPr>
          <w:rFonts w:ascii="Times New Roman" w:hAnsi="Times New Roman"/>
          <w:b w:val="0"/>
          <w:i w:val="0"/>
          <w:color w:val="1A1A1A"/>
          <w:sz w:val="22"/>
        </w:rPr>
        <w:t>Kind regards,</w:t>
      </w:r>
    </w:p>
    <w:p>
      <w:pPr>
        <w:keepNext/>
        <w:spacing w:after="720"/>
      </w:pPr>
      <w:r>
        <w:rPr>
          <w:rFonts w:ascii="Times New Roman" w:hAnsi="Times New Roman"/>
          <w:b w:val="0"/>
          <w:i w:val="0"/>
          <w:color w:val="1A1A1A"/>
          <w:sz w:val="22"/>
        </w:rPr>
        <w:t>Amrita</w:t>
      </w:r>
    </w:p>
    <w:p>
      <w:pPr>
        <w:spacing w:after="0"/>
      </w:pPr>
      <w:r>
        <w:rPr>
          <w:rFonts w:ascii="Calibri" w:hAnsi="Calibri"/>
          <w:b/>
          <w:i w:val="0"/>
          <w:color w:val="1A1A1A"/>
          <w:sz w:val="22"/>
        </w:rPr>
        <w:t>Amrita Chen</w:t>
      </w:r>
    </w:p>
    <w:p>
      <w:pPr>
        <w:spacing w:after="0"/>
      </w:pPr>
      <w:r>
        <w:rPr>
          <w:rFonts w:ascii="Calibri" w:hAnsi="Calibri"/>
          <w:b w:val="0"/>
          <w:i w:val="0"/>
          <w:color w:val="1A1A1A"/>
          <w:sz w:val="20"/>
        </w:rPr>
        <w:t>Vice-President, Product</w:t>
      </w:r>
    </w:p>
    <w:p>
      <w:pPr>
        <w:spacing w:after="0"/>
      </w:pPr>
      <w:r>
        <w:rPr>
          <w:rFonts w:ascii="Calibri" w:hAnsi="Calibri"/>
          <w:b/>
          <w:i w:val="0"/>
          <w:color w:val="1A1A1A"/>
          <w:sz w:val="20"/>
        </w:rPr>
        <w:t>Northstar Forms Inc.</w:t>
      </w:r>
    </w:p>
    <w:p>
      <w:pPr>
        <w:spacing w:after="0"/>
      </w:pPr>
      <w:r>
        <w:rPr>
          <w:rFonts w:ascii="Calibri" w:hAnsi="Calibri"/>
          <w:b w:val="0"/>
          <w:i w:val="0"/>
          <w:color w:val="1A1A1A"/>
          <w:sz w:val="18"/>
        </w:rPr>
        <w:t>325 Front Street West, Toronto, Ontario M5V 2T6, Canada</w:t>
      </w:r>
    </w:p>
    <w:p>
      <w:pPr>
        <w:spacing w:after="0"/>
      </w:pPr>
      <w:r>
        <w:rPr>
          <w:rFonts w:ascii="Calibri" w:hAnsi="Calibri"/>
          <w:b w:val="0"/>
          <w:i w:val="0"/>
          <w:color w:val="1A1A1A"/>
          <w:sz w:val="18"/>
        </w:rPr>
        <w:t>amrita.chen@northstarforms.com  |  +1 416 555 0271</w:t>
      </w:r>
    </w:p>
    <w:sectPr w:rsidR="00FC693F" w:rsidRPr="0006063C" w:rsidSect="00034616">
      <w:headerReference w:type="default" r:id="rId9"/>
      <w:footerReference w:type="default" r:id="rId10"/>
      <w:pgSz w:w="11909" w:h="16834"/>
      <w:pgMar w:top="792" w:right="1440" w:bottom="1152" w:left="1440" w:header="576"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Calibri" w:hAnsi="Calibri"/>
        <w:b w:val="0"/>
        <w:i w:val="0"/>
        <w:color w:val="6E6E6E"/>
        <w:sz w:val="16"/>
      </w:rPr>
      <w:t>Workshop Day</w:t>
    </w:r>
  </w:p>
  <w:p>
    <w:pPr>
      <w:spacing w:before="40"/>
      <w:jc w:val="center"/>
    </w:pPr>
    <w:r>
      <w:rPr>
        <w:rFonts w:ascii="Calibri" w:hAnsi="Calibri"/>
        <w:b w:val="0"/>
        <w:i w:val="0"/>
        <w:color w:val="6E6E6E"/>
        <w:sz w:val="14"/>
      </w:rPr>
      <w:t>© 2026 FICPI. All rights reserved. Prepared for the FICPI AI Patent Drafting Masterclass, Budapest, 16 September 2026. For the use of registered delegates only; not for further reproduction or distribution without permission.</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spacing w:after="40"/>
    </w:pPr>
    <w:r>
      <w:drawing>
        <wp:inline xmlns:a="http://schemas.openxmlformats.org/drawingml/2006/main" xmlns:pic="http://schemas.openxmlformats.org/drawingml/2006/picture">
          <wp:extent cx="1248629" cy="402336"/>
          <wp:docPr id="1" name="Picture 1"/>
          <wp:cNvGraphicFramePr>
            <a:graphicFrameLocks noChangeAspect="1"/>
          </wp:cNvGraphicFramePr>
          <a:graphic>
            <a:graphicData uri="http://schemas.openxmlformats.org/drawingml/2006/picture">
              <pic:pic>
                <pic:nvPicPr>
                  <pic:cNvPr id="0" name="northstar_logo.png"/>
                  <pic:cNvPicPr/>
                </pic:nvPicPr>
                <pic:blipFill>
                  <a:blip r:embed="rId1"/>
                  <a:stretch>
                    <a:fillRect/>
                  </a:stretch>
                </pic:blipFill>
                <pic:spPr>
                  <a:xfrm>
                    <a:off x="0" y="0"/>
                    <a:ext cx="1248629" cy="402336"/>
                  </a:xfrm>
                  <a:prstGeom prst="rect"/>
                </pic:spPr>
              </pic:pic>
            </a:graphicData>
          </a:graphic>
        </wp:inline>
      </w:drawing>
    </w:r>
  </w:p>
  <w:p>
    <w:pPr>
      <w:spacing w:after="0"/>
    </w:pPr>
    <w:r>
      <w:rPr>
        <w:rFonts w:ascii="Calibri" w:hAnsi="Calibri"/>
        <w:b w:val="0"/>
        <w:i w:val="0"/>
        <w:color w:val="6E6E6E"/>
        <w:sz w:val="17"/>
      </w:rPr>
      <w:t>325 Front Street West, Toronto, Ontario M5V 2T6, Canada</w:t>
    </w:r>
  </w:p>
  <w:p>
    <w:pPr>
      <w:spacing w:before="80" w:after="0"/>
      <w:pBdr>
        <w:bottom w:val="single" w:sz="6" w:space="1" w:color="AAAAAA"/>
      </w:pBd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