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008F1D68" w:rsidP="36ECFFDE" w:rsidRDefault="00D84F8B" w14:paraId="10FF7246" w14:textId="77777777">
      <w:pPr>
        <w:pStyle w:val="Heading1"/>
        <w:keepNext w:val="0"/>
        <w:keepLines w:val="0"/>
        <w:spacing w:before="300" w:after="161" w:line="360" w:lineRule="auto"/>
        <w:jc w:val="center"/>
      </w:pPr>
      <w:r w:rsidRPr="36ECFFDE" w:rsidR="36ECFFDE">
        <w:rPr>
          <w:color w:val="auto"/>
          <w:lang w:val="en-GB" w:eastAsia="en-GB" w:bidi="en-GB"/>
        </w:rPr>
        <w:t>CANCER-SUSCEPTIBILITY GENE AND MUTATION DETECTION</w:t>
      </w:r>
    </w:p>
    <w:p w:rsidR="008F1D68" w:rsidRDefault="00D84F8B" w14:paraId="32CF9E34" w14:textId="77777777">
      <w:pPr>
        <w:pStyle w:val="Heading2"/>
        <w:keepNext w:val="0"/>
        <w:keepLines w:val="0"/>
        <w:spacing w:before="199" w:after="199" w:line="360" w:lineRule="auto"/>
      </w:pPr>
      <w:r>
        <w:rPr>
          <w:color w:val="auto"/>
          <w:u w:val="single"/>
          <w:lang w:val="en-GB" w:eastAsia="en-GB" w:bidi="en-GB"/>
        </w:rPr>
        <w:t>Field and Background</w:t>
      </w:r>
    </w:p>
    <w:p w:rsidR="008F1D68" w:rsidRDefault="00D84F8B" w14:paraId="61F50243" w14:textId="77777777">
      <w:pPr>
        <w:pStyle w:val="p"/>
        <w:spacing w:before="120" w:after="120" w:line="360" w:lineRule="auto"/>
      </w:pPr>
      <w:r>
        <w:rPr>
          <w:lang w:val="en-GB" w:eastAsia="en-GB" w:bidi="en-GB"/>
        </w:rPr>
        <w:t>The invention relates to a human cancer-susceptibility gene and to the detection of mutations in that gene.</w:t>
      </w:r>
    </w:p>
    <w:p w:rsidR="008F1D68" w:rsidRDefault="00D84F8B" w14:paraId="0F64A839" w14:textId="77777777">
      <w:pPr>
        <w:pStyle w:val="p"/>
        <w:spacing w:before="120" w:after="120" w:line="360" w:lineRule="auto"/>
      </w:pPr>
      <w:r>
        <w:rPr>
          <w:lang w:val="en-GB" w:eastAsia="en-GB" w:bidi="en-GB"/>
        </w:rPr>
        <w:t xml:space="preserve">A proportion of breast and ovarian cancer cases cluster within families in a pattern consistent with inheritance of a susceptibility allele. Linkage studies localised a susceptibility locus to chromosome 17q, but the gene had not been isolated. Risk assessment therefore depended on linkage analysis within large kindreds, which is uninformative for small families and individuals with few affected relatives. There remains a need for the isolated gene and its mutant alleles, so that predisposing mutations may </w:t>
      </w:r>
      <w:r>
        <w:rPr>
          <w:lang w:val="en-GB" w:eastAsia="en-GB" w:bidi="en-GB"/>
        </w:rPr>
        <w:t>be detected directly. </w:t>
      </w:r>
    </w:p>
    <w:p w:rsidR="008F1D68" w:rsidRDefault="00D84F8B" w14:paraId="23964B0E" w14:textId="77777777">
      <w:pPr>
        <w:pStyle w:val="p"/>
        <w:spacing w:before="120" w:after="120" w:line="360" w:lineRule="auto"/>
      </w:pPr>
      <w:r>
        <w:rPr>
          <w:lang w:val="en-GB" w:eastAsia="en-GB" w:bidi="en-GB"/>
        </w:rPr>
        <w:t>Alterations may include deletions, insertions and point mutations in coding or non-coding regions, which may introduce premature stop codons, alter the reading frame, disrupt RNA processing or reduce expression, and may thereby impair the function of the encoded tumour-suppressor protein.</w:t>
      </w:r>
    </w:p>
    <w:p w:rsidR="008F1D68" w:rsidRDefault="00D84F8B" w14:paraId="57CA2257" w14:textId="77777777">
      <w:pPr>
        <w:pStyle w:val="Heading2"/>
        <w:keepNext w:val="0"/>
        <w:keepLines w:val="0"/>
        <w:spacing w:before="199" w:after="199" w:line="360" w:lineRule="auto"/>
      </w:pPr>
      <w:r>
        <w:rPr>
          <w:color w:val="auto"/>
          <w:u w:val="single"/>
          <w:lang w:val="en-GB" w:eastAsia="en-GB" w:bidi="en-GB"/>
        </w:rPr>
        <w:t>Summary of the Invention</w:t>
      </w:r>
    </w:p>
    <w:p w:rsidR="008F1D68" w:rsidRDefault="00D84F8B" w14:paraId="00943DAC" w14:textId="77777777">
      <w:pPr>
        <w:pStyle w:val="p"/>
        <w:spacing w:before="120" w:after="120" w:line="360" w:lineRule="auto"/>
      </w:pPr>
      <w:r>
        <w:rPr>
          <w:lang w:val="en-GB" w:eastAsia="en-GB" w:bidi="en-GB"/>
        </w:rPr>
        <w:t>In one aspect, the invention provides an isolated DNA encoding a cancer-susceptibility polypeptide. In another aspect, it provides isolated DNA fragments. In a further aspect, the invention provides isolated mutant alleles of the gene that are associated with susceptibility to breast or ovarian cancer.</w:t>
      </w:r>
    </w:p>
    <w:p w:rsidR="008F1D68" w:rsidRDefault="00D84F8B" w14:paraId="520EAFB2" w14:textId="77777777">
      <w:pPr>
        <w:pStyle w:val="p"/>
        <w:spacing w:before="120" w:after="120" w:line="360" w:lineRule="auto"/>
      </w:pPr>
      <w:r>
        <w:rPr>
          <w:lang w:val="en-GB" w:eastAsia="en-GB" w:bidi="en-GB"/>
        </w:rPr>
        <w:t>The invention also provides methods and kits for detecting a mutation in the gene. Detection may use amplification primers, direct sequencing, restriction analysis, allele-specific oligonucleotide hybridisation, single-strand conformation analysis or another suitable method. A mutation-specific reagent may distinguish a mutant allele from the corresponding wild-type allele.</w:t>
      </w:r>
    </w:p>
    <w:p w:rsidR="008F1D68" w:rsidRDefault="00D84F8B" w14:paraId="1877330F" w14:textId="77777777">
      <w:pPr>
        <w:pStyle w:val="Heading2"/>
        <w:keepNext w:val="0"/>
        <w:keepLines w:val="0"/>
        <w:spacing w:before="199" w:after="199" w:line="360" w:lineRule="auto"/>
      </w:pPr>
      <w:r>
        <w:rPr>
          <w:color w:val="auto"/>
          <w:u w:val="single"/>
          <w:lang w:val="en-GB" w:eastAsia="en-GB" w:bidi="en-GB"/>
        </w:rPr>
        <w:t>Brief Description of Drawings</w:t>
      </w:r>
    </w:p>
    <w:p w:rsidR="008F1D68" w:rsidRDefault="00D84F8B" w14:paraId="2FEE7AE6" w14:textId="77777777">
      <w:pPr>
        <w:pStyle w:val="p"/>
        <w:spacing w:before="120" w:after="120" w:line="360" w:lineRule="auto"/>
      </w:pPr>
      <w:r>
        <w:rPr>
          <w:lang w:val="en-GB" w:eastAsia="en-GB" w:bidi="en-GB"/>
        </w:rPr>
        <w:t xml:space="preserve">FIG. 1 shows a mutation and </w:t>
      </w:r>
      <w:proofErr w:type="spellStart"/>
      <w:r>
        <w:rPr>
          <w:lang w:val="en-GB" w:eastAsia="en-GB" w:bidi="en-GB"/>
        </w:rPr>
        <w:t>cosegregation</w:t>
      </w:r>
      <w:proofErr w:type="spellEnd"/>
      <w:r>
        <w:rPr>
          <w:lang w:val="en-GB" w:eastAsia="en-GB" w:bidi="en-GB"/>
        </w:rPr>
        <w:t xml:space="preserve"> analysis for </w:t>
      </w:r>
      <w:proofErr w:type="gramStart"/>
      <w:r>
        <w:rPr>
          <w:lang w:val="en-GB" w:eastAsia="en-GB" w:bidi="en-GB"/>
        </w:rPr>
        <w:t>a kindred</w:t>
      </w:r>
      <w:proofErr w:type="gramEnd"/>
      <w:r>
        <w:rPr>
          <w:lang w:val="en-GB" w:eastAsia="en-GB" w:bidi="en-GB"/>
        </w:rPr>
        <w:t xml:space="preserve"> carrying a single-nucleotide insertion that produces a frameshift.</w:t>
      </w:r>
    </w:p>
    <w:p w:rsidR="008F1D68" w:rsidRDefault="00D84F8B" w14:paraId="6AEDA916" w14:textId="77777777">
      <w:pPr>
        <w:pStyle w:val="Heading2"/>
        <w:keepNext w:val="0"/>
        <w:keepLines w:val="0"/>
        <w:spacing w:before="199" w:after="199" w:line="360" w:lineRule="auto"/>
      </w:pPr>
      <w:r>
        <w:rPr>
          <w:color w:val="auto"/>
          <w:u w:val="single"/>
          <w:lang w:val="en-GB" w:eastAsia="en-GB" w:bidi="en-GB"/>
        </w:rPr>
        <w:t>Detailed Description</w:t>
      </w:r>
    </w:p>
    <w:p w:rsidR="008F1D68" w:rsidRDefault="00D84F8B" w14:paraId="3A7CA189" w14:textId="77777777">
      <w:pPr>
        <w:pStyle w:val="Heading3"/>
        <w:keepNext w:val="0"/>
        <w:keepLines w:val="0"/>
        <w:spacing w:before="240" w:after="240" w:line="360" w:lineRule="auto"/>
      </w:pPr>
      <w:r>
        <w:rPr>
          <w:rStyle w:val="Emphasis"/>
          <w:color w:val="auto"/>
          <w:lang w:val="en-GB" w:eastAsia="en-GB" w:bidi="en-GB"/>
        </w:rPr>
        <w:t>Gene and encoded product</w:t>
      </w:r>
    </w:p>
    <w:p w:rsidR="008F1D68" w:rsidRDefault="00D84F8B" w14:paraId="5A4DD803" w14:textId="77777777">
      <w:pPr>
        <w:pStyle w:val="p"/>
        <w:spacing w:before="120" w:after="120" w:line="360" w:lineRule="auto"/>
      </w:pPr>
      <w:r>
        <w:rPr>
          <w:lang w:val="en-GB" w:eastAsia="en-GB" w:bidi="en-GB"/>
        </w:rPr>
        <w:t>SEQ ID NO: 1 is a 5,914-nucleotide cDNA whose coding sequence begins at nucleotide 120, with the sense codons extending to nucleotide 5708 and the termination codon occupying nucleotides 5709 to 5711. SEQ ID NO: 2 is the encoded polypeptide of 1,863 amino acids. All nucleotide positions in this specification and in the claims are numbered from nucleotide 1 of SEQ ID NO: 1; amino-acid positions are numbered from residue 1 of SEQ ID NO: 2. The gene is referred to herein as the FICPI1 gene and its encoded prod</w:t>
      </w:r>
      <w:r>
        <w:rPr>
          <w:lang w:val="en-GB" w:eastAsia="en-GB" w:bidi="en-GB"/>
        </w:rPr>
        <w:t>uct as the FICPI1 polypeptide. The protein includes an N-terminal C3HC4 zinc-finger motif and a substantial acidic region toward the C-terminus. Multiple transcript forms may arise through alternative splicing.</w:t>
      </w:r>
    </w:p>
    <w:p w:rsidR="008F1D68" w:rsidRDefault="00D84F8B" w14:paraId="7764E3B9" w14:textId="77777777">
      <w:pPr>
        <w:pStyle w:val="Heading3"/>
        <w:keepNext w:val="0"/>
        <w:keepLines w:val="0"/>
        <w:spacing w:before="240" w:after="240" w:line="360" w:lineRule="auto"/>
      </w:pPr>
      <w:r>
        <w:rPr>
          <w:rStyle w:val="Emphasis"/>
          <w:color w:val="auto"/>
          <w:lang w:val="en-GB" w:eastAsia="en-GB" w:bidi="en-GB"/>
        </w:rPr>
        <w:t>Mutant alleles</w:t>
      </w:r>
    </w:p>
    <w:p w:rsidR="008F1D68" w:rsidRDefault="00D84F8B" w14:paraId="74811AFA" w14:textId="77777777">
      <w:pPr>
        <w:pStyle w:val="p"/>
        <w:spacing w:before="120" w:after="120" w:line="360" w:lineRule="auto"/>
      </w:pPr>
      <w:r>
        <w:rPr>
          <w:lang w:val="en-GB" w:eastAsia="en-GB" w:bidi="en-GB"/>
        </w:rPr>
        <w:t>Certain mutant alleles of the gene are associated with susceptibility to breast or ovarian cancer. In one embodiment, a mutant allele comprises SEQ ID NO: 1 having an additional cytosine at nucleotide position 5385. The insertion alters the reading frame and is predicted to produce an abnormal amino-acid sequence beginning 108 residues before the C-terminus of the wild-type protein. In another embodiment, a mutant allele comprises SEQ ID NO: 1 having guanine at nucleotide position 5443. The substitution cha</w:t>
      </w:r>
      <w:r>
        <w:rPr>
          <w:lang w:val="en-GB" w:eastAsia="en-GB" w:bidi="en-GB"/>
        </w:rPr>
        <w:t>nges a methionine residue to arginine. In a further embodiment, a mutant allele comprises SEQ ID NO: 1 having nucleotides 189-199 deleted. The deletion alters the reading frame and is predicted to produce an abnormal amino-acid sequence beginning at the 24th residue from the N-terminus. Other mutant alleles may be identified by the methods described herein.</w:t>
      </w:r>
    </w:p>
    <w:p w:rsidR="008F1D68" w:rsidRDefault="00D84F8B" w14:paraId="17F4E2E2" w14:textId="77777777">
      <w:pPr>
        <w:pStyle w:val="Heading3"/>
        <w:keepNext w:val="0"/>
        <w:keepLines w:val="0"/>
        <w:spacing w:before="240" w:after="240" w:line="360" w:lineRule="auto"/>
      </w:pPr>
      <w:r>
        <w:rPr>
          <w:rStyle w:val="Emphasis"/>
          <w:color w:val="auto"/>
          <w:lang w:val="en-GB" w:eastAsia="en-GB" w:bidi="en-GB"/>
        </w:rPr>
        <w:t>Mutation detection</w:t>
      </w:r>
    </w:p>
    <w:p w:rsidR="008F1D68" w:rsidRDefault="00D84F8B" w14:paraId="28B0A788" w14:textId="77777777">
      <w:pPr>
        <w:pStyle w:val="p"/>
        <w:spacing w:before="120" w:after="120" w:line="360" w:lineRule="auto"/>
      </w:pPr>
      <w:r>
        <w:rPr>
          <w:lang w:val="en-GB" w:eastAsia="en-GB" w:bidi="en-GB"/>
        </w:rPr>
        <w:t>A tissue sample may be tested for an alteration of the wild-type gene. Germline testing may be carried out using DNA from blood or another tissue. Tumour tissue may be tested for somatic alterations. Suitable techniques include direct sequencing, restriction-fragment analysis, allele-specific oligonucleotide hybridisation, single-strand conformation analysis and amplification-based methods. In one approach, a portion of the gene may be amplified from nucleic acid in a sample and the amplified portion compar</w:t>
      </w:r>
      <w:r>
        <w:rPr>
          <w:lang w:val="en-GB" w:eastAsia="en-GB" w:bidi="en-GB"/>
        </w:rPr>
        <w:t>ed with the corresponding sequence of SEQ ID NO: 1 to determine whether a mutant allele is present.</w:t>
      </w:r>
    </w:p>
    <w:p w:rsidR="008F1D68" w:rsidRDefault="00D84F8B" w14:paraId="1C17E56C" w14:textId="77777777">
      <w:pPr>
        <w:pStyle w:val="p"/>
        <w:spacing w:before="120" w:after="120" w:line="360" w:lineRule="auto"/>
      </w:pPr>
      <w:r>
        <w:rPr>
          <w:lang w:val="en-GB" w:eastAsia="en-GB" w:bidi="en-GB"/>
        </w:rPr>
        <w:t>Once a mutation is known, a mutation-specific primer or probe may be used to screen additional samples. The reagent should be sufficiently specific to distinguish the mutant allele from the corresponding wild-type allele under the selected assay conditions.</w:t>
      </w:r>
    </w:p>
    <w:p w:rsidR="008F1D68" w:rsidRDefault="00D84F8B" w14:paraId="5BC931FB" w14:textId="77777777">
      <w:pPr>
        <w:pStyle w:val="Heading3"/>
        <w:keepNext w:val="0"/>
        <w:keepLines w:val="0"/>
        <w:spacing w:before="240" w:after="240" w:line="360" w:lineRule="auto"/>
      </w:pPr>
      <w:r>
        <w:rPr>
          <w:rStyle w:val="Emphasis"/>
          <w:color w:val="auto"/>
          <w:lang w:val="en-GB" w:eastAsia="en-GB" w:bidi="en-GB"/>
        </w:rPr>
        <w:t>Kits</w:t>
      </w:r>
    </w:p>
    <w:p w:rsidR="008F1D68" w:rsidRDefault="00D84F8B" w14:paraId="508F4A8A" w14:textId="77777777">
      <w:pPr>
        <w:pStyle w:val="p"/>
        <w:spacing w:before="120" w:after="120" w:line="360" w:lineRule="auto"/>
      </w:pPr>
      <w:r>
        <w:rPr>
          <w:lang w:val="en-GB" w:eastAsia="en-GB" w:bidi="en-GB"/>
        </w:rPr>
        <w:t>A kit for detecting a mutation in the gene may comprise one or more amplification primers, one or more allele-specific oligonucleotide probes, or both. The kit may further comprise a restriction enzyme whose recognition site is created or abolished by the mutation, one or more control nucleic acids, buffers and reagents for amplification or hybridisation, and instructions for detecting the mutation.</w:t>
      </w:r>
    </w:p>
    <w:p w:rsidR="008F1D68" w:rsidRDefault="00D84F8B" w14:paraId="242B809A" w14:textId="77777777">
      <w:pPr>
        <w:pStyle w:val="Heading3"/>
        <w:keepNext w:val="0"/>
        <w:keepLines w:val="0"/>
        <w:spacing w:before="240" w:after="240" w:line="360" w:lineRule="auto"/>
      </w:pPr>
      <w:r>
        <w:rPr>
          <w:rStyle w:val="Strong"/>
          <w:color w:val="auto"/>
          <w:lang w:val="en-GB" w:eastAsia="en-GB" w:bidi="en-GB"/>
        </w:rPr>
        <w:t>Example 1 - screening of candidate mutant alleles</w:t>
      </w:r>
    </w:p>
    <w:p w:rsidR="008F1D68" w:rsidRDefault="00D84F8B" w14:paraId="33F16013" w14:textId="77777777">
      <w:pPr>
        <w:pStyle w:val="p"/>
        <w:spacing w:before="120" w:after="120" w:line="360" w:lineRule="auto"/>
      </w:pPr>
      <w:r>
        <w:rPr>
          <w:lang w:val="en-GB" w:eastAsia="en-GB" w:bidi="en-GB"/>
        </w:rPr>
        <w:t xml:space="preserve">Coding exons and associated splice junctions were amplified from genomic DNA or from cDNA prepared from lymphocyte RNA. Amplified sequences from affected kindreds were compared with the wild-type sequence. Candidate mutations were evaluated for likely disruption of the encoded protein, </w:t>
      </w:r>
      <w:proofErr w:type="spellStart"/>
      <w:r>
        <w:rPr>
          <w:lang w:val="en-GB" w:eastAsia="en-GB" w:bidi="en-GB"/>
        </w:rPr>
        <w:t>cosegregation</w:t>
      </w:r>
      <w:proofErr w:type="spellEnd"/>
      <w:r>
        <w:rPr>
          <w:lang w:val="en-GB" w:eastAsia="en-GB" w:bidi="en-GB"/>
        </w:rPr>
        <w:t xml:space="preserve"> with the disease-associated haplotype, and rarity in control populations.</w:t>
      </w:r>
    </w:p>
    <w:p w:rsidR="008F1D68" w:rsidRDefault="00D84F8B" w14:paraId="4DFF815C" w14:textId="77777777">
      <w:pPr>
        <w:pStyle w:val="Heading3"/>
        <w:keepNext w:val="0"/>
        <w:keepLines w:val="0"/>
        <w:spacing w:before="240" w:after="240" w:line="360" w:lineRule="auto"/>
      </w:pPr>
      <w:r>
        <w:rPr>
          <w:rStyle w:val="Strong"/>
          <w:color w:val="auto"/>
          <w:lang w:val="en-GB" w:eastAsia="en-GB" w:bidi="en-GB"/>
        </w:rPr>
        <w:t>Example 2 - single-nucleotide insertion</w:t>
      </w:r>
    </w:p>
    <w:p w:rsidR="008F1D68" w:rsidRDefault="00D84F8B" w14:paraId="5E1272B3" w14:textId="77777777">
      <w:pPr>
        <w:pStyle w:val="p"/>
        <w:spacing w:before="120" w:after="120" w:line="360" w:lineRule="auto"/>
      </w:pPr>
      <w:r>
        <w:rPr>
          <w:lang w:val="en-GB" w:eastAsia="en-GB" w:bidi="en-GB"/>
        </w:rPr>
        <w:t>A single-nucleotide insertion was identified at nucleotide position 5385 in a coding exon of one kindred. The insertion of an additional cytosine alters the reading frame and is predicted to produce an abnormal C-terminal amino-acid sequence beginning 108 residues before the C-terminus. Sequencing of additional family members showed the insertion in carriers of the disease-associated haplotype and not in a non-carrier. This embodiment is illustrated in FIG. 1.</w:t>
      </w:r>
    </w:p>
    <w:p w:rsidR="008F1D68" w:rsidRDefault="00D84F8B" w14:paraId="04C7136C" w14:textId="77777777">
      <w:pPr>
        <w:pStyle w:val="Heading3"/>
        <w:keepNext w:val="0"/>
        <w:keepLines w:val="0"/>
        <w:spacing w:before="240" w:after="240" w:line="360" w:lineRule="auto"/>
      </w:pPr>
      <w:r>
        <w:rPr>
          <w:rStyle w:val="Strong"/>
          <w:color w:val="auto"/>
          <w:lang w:val="en-GB" w:eastAsia="en-GB" w:bidi="en-GB"/>
        </w:rPr>
        <w:t>Example 3 - missense substitution</w:t>
      </w:r>
    </w:p>
    <w:p w:rsidR="008F1D68" w:rsidRDefault="00D84F8B" w14:paraId="6440DA44" w14:textId="77777777">
      <w:pPr>
        <w:pStyle w:val="p"/>
        <w:spacing w:before="120" w:after="120" w:line="360" w:lineRule="auto"/>
      </w:pPr>
      <w:proofErr w:type="gramStart"/>
      <w:r>
        <w:rPr>
          <w:lang w:val="en-GB" w:eastAsia="en-GB" w:bidi="en-GB"/>
        </w:rPr>
        <w:t>A further kindred</w:t>
      </w:r>
      <w:proofErr w:type="gramEnd"/>
      <w:r>
        <w:rPr>
          <w:lang w:val="en-GB" w:eastAsia="en-GB" w:bidi="en-GB"/>
        </w:rPr>
        <w:t xml:space="preserve"> contained a single-base substitution at nucleotide position 5443 that changes a methionine residue to arginine. An allele-specific oligonucleotide was used to test family members and control samples for the sequence variant. The variant </w:t>
      </w:r>
      <w:proofErr w:type="spellStart"/>
      <w:r>
        <w:rPr>
          <w:lang w:val="en-GB" w:eastAsia="en-GB" w:bidi="en-GB"/>
        </w:rPr>
        <w:t>cosegregated</w:t>
      </w:r>
      <w:proofErr w:type="spellEnd"/>
      <w:r>
        <w:rPr>
          <w:lang w:val="en-GB" w:eastAsia="en-GB" w:bidi="en-GB"/>
        </w:rPr>
        <w:t xml:space="preserve"> with the disease-associated haplotype and was not detected in the control population examined.</w:t>
      </w:r>
    </w:p>
    <w:p w:rsidR="008F1D68" w:rsidRDefault="00D84F8B" w14:paraId="27026036" w14:textId="77777777">
      <w:pPr>
        <w:pStyle w:val="Heading2"/>
        <w:keepNext w:val="0"/>
        <w:keepLines w:val="0"/>
        <w:spacing w:before="199" w:after="199" w:line="360" w:lineRule="auto"/>
      </w:pPr>
      <w:r>
        <w:rPr>
          <w:color w:val="auto"/>
          <w:u w:val="single"/>
          <w:lang w:val="en-GB" w:eastAsia="en-GB" w:bidi="en-GB"/>
        </w:rPr>
        <w:t>Brief Description of the Sequences</w:t>
      </w:r>
    </w:p>
    <w:tbl>
      <w:tblPr>
        <w:tblStyle w:val="PlainTable2"/>
        <w:tblW w:w="5000" w:type="pct"/>
        <w:tblCellSpacing w:w="15" w:type="dxa"/>
        <w:tblLayout w:type="fixed"/>
        <w:tblCellMar>
          <w:top w:w="15" w:type="dxa"/>
          <w:left w:w="15" w:type="dxa"/>
          <w:bottom w:w="15" w:type="dxa"/>
          <w:right w:w="15" w:type="dxa"/>
        </w:tblCellMar>
        <w:tblLook w:val="06A0" w:firstRow="1" w:lastRow="0" w:firstColumn="1" w:lastColumn="0" w:noHBand="1" w:noVBand="1"/>
      </w:tblPr>
      <w:tblGrid>
        <w:gridCol w:w="4870"/>
        <w:gridCol w:w="4870"/>
      </w:tblGrid>
      <w:tr w:rsidR="008F1D68" w:rsidTr="36ECFFDE" w14:paraId="64FB22D4" w14:textId="77777777">
        <w:trPr>
          <w:tblHeader/>
          <w:tblCellSpacing w:w="15" w:type="dxa"/>
        </w:trPr>
        <w:tc>
          <w:tcPr>
            <w:cnfStyle w:val="001000000000" w:firstRow="0" w:lastRow="0" w:firstColumn="1" w:lastColumn="0" w:oddVBand="0" w:evenVBand="0" w:oddHBand="0" w:evenHBand="0" w:firstRowFirstColumn="0" w:firstRowLastColumn="0" w:lastRowFirstColumn="0" w:lastRowLastColumn="0"/>
            <w:tcW w:w="315" w:type="dxa"/>
            <w:tcMar>
              <w:top w:w="0" w:type="dxa"/>
              <w:left w:w="108" w:type="dxa"/>
              <w:bottom w:w="0" w:type="dxa"/>
              <w:right w:w="108" w:type="dxa"/>
            </w:tcMar>
            <w:vAlign w:val="center"/>
            <w:hideMark/>
          </w:tcPr>
          <w:p w:rsidR="008F1D68" w:rsidRDefault="00D84F8B" w14:paraId="2131B49C" w14:textId="77777777">
            <w:pPr>
              <w:spacing w:line="360" w:lineRule="auto"/>
              <w:rPr>
                <w:b/>
                <w:bCs/>
              </w:rPr>
            </w:pPr>
            <w:r>
              <w:rPr>
                <w:b/>
                <w:bCs/>
                <w:lang w:val="en-GB" w:eastAsia="en-GB" w:bidi="en-GB"/>
              </w:rPr>
              <w:t>Identifier</w:t>
            </w:r>
          </w:p>
        </w:tc>
        <w:tc>
          <w:tcPr>
            <w:cnfStyle w:val="000000000000" w:firstRow="0" w:lastRow="0" w:firstColumn="0" w:lastColumn="0" w:oddVBand="0" w:evenVBand="0" w:oddHBand="0" w:evenHBand="0" w:firstRowFirstColumn="0" w:firstRowLastColumn="0" w:lastRowFirstColumn="0" w:lastRowLastColumn="0"/>
            <w:tcW w:w="315" w:type="dxa"/>
            <w:tcMar>
              <w:top w:w="0" w:type="dxa"/>
              <w:left w:w="108" w:type="dxa"/>
              <w:bottom w:w="0" w:type="dxa"/>
              <w:right w:w="108" w:type="dxa"/>
            </w:tcMar>
            <w:vAlign w:val="center"/>
            <w:hideMark/>
          </w:tcPr>
          <w:p w:rsidR="008F1D68" w:rsidRDefault="00D84F8B" w14:paraId="0AEA98F8" w14:textId="77777777">
            <w:pPr>
              <w:spacing w:line="360" w:lineRule="auto"/>
              <w:rPr>
                <w:b/>
                <w:bCs/>
              </w:rPr>
            </w:pPr>
            <w:r>
              <w:rPr>
                <w:b/>
                <w:bCs/>
                <w:lang w:val="en-GB" w:eastAsia="en-GB" w:bidi="en-GB"/>
              </w:rPr>
              <w:t>Description</w:t>
            </w:r>
          </w:p>
        </w:tc>
      </w:tr>
      <w:tr w:rsidR="008F1D68" w:rsidTr="36ECFFDE" w14:paraId="5F082B57" w14:textId="77777777">
        <w:trPr>
          <w:tblCellSpacing w:w="15" w:type="dxa"/>
        </w:trPr>
        <w:tc>
          <w:tcPr>
            <w:cnfStyle w:val="001000000000" w:firstRow="0" w:lastRow="0" w:firstColumn="1" w:lastColumn="0" w:oddVBand="0" w:evenVBand="0" w:oddHBand="0" w:evenHBand="0" w:firstRowFirstColumn="0" w:firstRowLastColumn="0" w:lastRowFirstColumn="0" w:lastRowLastColumn="0"/>
            <w:tcW w:w="315" w:type="dxa"/>
            <w:tcMar>
              <w:top w:w="0" w:type="dxa"/>
              <w:left w:w="108" w:type="dxa"/>
              <w:bottom w:w="0" w:type="dxa"/>
              <w:right w:w="108" w:type="dxa"/>
            </w:tcMar>
            <w:vAlign w:val="center"/>
            <w:hideMark/>
          </w:tcPr>
          <w:p w:rsidR="008F1D68" w:rsidRDefault="00D84F8B" w14:paraId="11741CD3" w14:textId="77777777">
            <w:pPr>
              <w:spacing w:line="360" w:lineRule="auto"/>
            </w:pPr>
            <w:r>
              <w:rPr>
                <w:lang w:val="en-GB" w:eastAsia="en-GB" w:bidi="en-GB"/>
              </w:rPr>
              <w:t>SEQ ID NO: 1</w:t>
            </w:r>
          </w:p>
        </w:tc>
        <w:tc>
          <w:tcPr>
            <w:cnfStyle w:val="000000000000" w:firstRow="0" w:lastRow="0" w:firstColumn="0" w:lastColumn="0" w:oddVBand="0" w:evenVBand="0" w:oddHBand="0" w:evenHBand="0" w:firstRowFirstColumn="0" w:firstRowLastColumn="0" w:lastRowFirstColumn="0" w:lastRowLastColumn="0"/>
            <w:tcW w:w="315" w:type="dxa"/>
            <w:tcMar>
              <w:top w:w="0" w:type="dxa"/>
              <w:left w:w="108" w:type="dxa"/>
              <w:bottom w:w="0" w:type="dxa"/>
              <w:right w:w="108" w:type="dxa"/>
            </w:tcMar>
            <w:vAlign w:val="center"/>
            <w:hideMark/>
          </w:tcPr>
          <w:p w:rsidR="008F1D68" w:rsidRDefault="00D84F8B" w14:paraId="2E827D28" w14:textId="77777777">
            <w:pPr>
              <w:spacing w:line="360" w:lineRule="auto"/>
            </w:pPr>
            <w:r>
              <w:rPr>
                <w:lang w:val="en-GB" w:eastAsia="en-GB" w:bidi="en-GB"/>
              </w:rPr>
              <w:t>Wild-type cDNA of the cancer-susceptibility gene, with the coding sequence at nucleotides 120 to 5708.</w:t>
            </w:r>
          </w:p>
        </w:tc>
      </w:tr>
      <w:tr w:rsidR="008F1D68" w:rsidTr="36ECFFDE" w14:paraId="30119ED8" w14:textId="77777777">
        <w:trPr>
          <w:tblCellSpacing w:w="15" w:type="dxa"/>
        </w:trPr>
        <w:tc>
          <w:tcPr>
            <w:cnfStyle w:val="001000000000" w:firstRow="0" w:lastRow="0" w:firstColumn="1" w:lastColumn="0" w:oddVBand="0" w:evenVBand="0" w:oddHBand="0" w:evenHBand="0" w:firstRowFirstColumn="0" w:firstRowLastColumn="0" w:lastRowFirstColumn="0" w:lastRowLastColumn="0"/>
            <w:tcW w:w="315" w:type="dxa"/>
            <w:tcMar>
              <w:top w:w="0" w:type="dxa"/>
              <w:left w:w="108" w:type="dxa"/>
              <w:bottom w:w="0" w:type="dxa"/>
              <w:right w:w="108" w:type="dxa"/>
            </w:tcMar>
            <w:vAlign w:val="center"/>
            <w:hideMark/>
          </w:tcPr>
          <w:p w:rsidR="008F1D68" w:rsidRDefault="00D84F8B" w14:paraId="57739134" w14:textId="77777777">
            <w:pPr>
              <w:spacing w:line="360" w:lineRule="auto"/>
            </w:pPr>
            <w:r>
              <w:rPr>
                <w:lang w:val="en-GB" w:eastAsia="en-GB" w:bidi="en-GB"/>
              </w:rPr>
              <w:t>SEQ ID NO: 2</w:t>
            </w:r>
          </w:p>
        </w:tc>
        <w:tc>
          <w:tcPr>
            <w:cnfStyle w:val="000000000000" w:firstRow="0" w:lastRow="0" w:firstColumn="0" w:lastColumn="0" w:oddVBand="0" w:evenVBand="0" w:oddHBand="0" w:evenHBand="0" w:firstRowFirstColumn="0" w:firstRowLastColumn="0" w:lastRowFirstColumn="0" w:lastRowLastColumn="0"/>
            <w:tcW w:w="315" w:type="dxa"/>
            <w:tcMar>
              <w:top w:w="0" w:type="dxa"/>
              <w:left w:w="108" w:type="dxa"/>
              <w:bottom w:w="0" w:type="dxa"/>
              <w:right w:w="108" w:type="dxa"/>
            </w:tcMar>
            <w:vAlign w:val="center"/>
            <w:hideMark/>
          </w:tcPr>
          <w:p w:rsidR="008F1D68" w:rsidRDefault="00D84F8B" w14:paraId="0796679D" w14:textId="77777777">
            <w:pPr>
              <w:spacing w:line="360" w:lineRule="auto"/>
            </w:pPr>
            <w:r>
              <w:rPr>
                <w:lang w:val="en-GB" w:eastAsia="en-GB" w:bidi="en-GB"/>
              </w:rPr>
              <w:t>Wild-type encoded polypeptide sequence of 1,863 amino acids.</w:t>
            </w:r>
          </w:p>
        </w:tc>
      </w:tr>
    </w:tbl>
    <w:p w:rsidR="008F1D68" w:rsidP="36ECFFDE" w:rsidRDefault="00D84F8B" w14:paraId="30587BEC" w14:textId="06853924">
      <w:pPr>
        <w:pStyle w:val="Heading2"/>
        <w:keepNext w:val="0"/>
        <w:keepLines w:val="0"/>
        <w:spacing w:before="199" w:after="199" w:line="360" w:lineRule="auto"/>
        <w:rPr>
          <w:color w:val="auto"/>
          <w:u w:val="single"/>
          <w:lang w:val="en-GB" w:eastAsia="en-GB" w:bidi="en-GB"/>
        </w:rPr>
      </w:pPr>
    </w:p>
    <w:p w:rsidR="008F1D68" w:rsidP="36ECFFDE" w:rsidRDefault="00D84F8B" w14:paraId="14338B7B" w14:textId="13EC49C3">
      <w:pPr>
        <w:keepNext w:val="0"/>
        <w:keepLines w:val="0"/>
        <w:spacing w:before="199" w:after="199" w:line="360" w:lineRule="auto"/>
      </w:pPr>
      <w:r>
        <w:br w:type="page"/>
      </w:r>
    </w:p>
    <w:p w:rsidR="008F1D68" w:rsidRDefault="00D84F8B" w14:paraId="2F078FC6" w14:textId="51D31670">
      <w:pPr>
        <w:pStyle w:val="Heading2"/>
        <w:keepNext w:val="0"/>
        <w:keepLines w:val="0"/>
        <w:spacing w:before="199" w:after="199" w:line="360" w:lineRule="auto"/>
      </w:pPr>
      <w:r w:rsidRPr="36ECFFDE" w:rsidR="36ECFFDE">
        <w:rPr>
          <w:color w:val="auto"/>
          <w:u w:val="single"/>
          <w:lang w:val="en-GB" w:eastAsia="en-GB" w:bidi="en-GB"/>
        </w:rPr>
        <w:t>Claims</w:t>
      </w:r>
    </w:p>
    <w:p w:rsidR="008F1D68" w:rsidRDefault="00D84F8B" w14:paraId="50236776" w14:textId="77777777">
      <w:pPr>
        <w:pStyle w:val="p"/>
        <w:spacing w:before="120" w:after="120" w:line="360" w:lineRule="auto"/>
      </w:pPr>
      <w:r>
        <w:rPr>
          <w:lang w:val="en-GB" w:eastAsia="en-GB" w:bidi="en-GB"/>
        </w:rPr>
        <w:t>1. An isolated DNA encoding a cancer-susceptibility polypeptide having the amino-acid sequence of SEQ ID NO: 2.</w:t>
      </w:r>
    </w:p>
    <w:p w:rsidR="008F1D68" w:rsidRDefault="00D84F8B" w14:paraId="7944ED1C" w14:textId="77777777">
      <w:pPr>
        <w:pStyle w:val="p"/>
        <w:spacing w:before="120" w:after="120" w:line="360" w:lineRule="auto"/>
      </w:pPr>
      <w:r>
        <w:rPr>
          <w:lang w:val="en-GB" w:eastAsia="en-GB" w:bidi="en-GB"/>
        </w:rPr>
        <w:t>2. The isolated DNA of claim 1, wherein the DNA has the nucleotide sequence of SEQ ID NO: 1.</w:t>
      </w:r>
    </w:p>
    <w:p w:rsidR="008F1D68" w:rsidRDefault="00D84F8B" w14:paraId="644943CE" w14:textId="77777777">
      <w:pPr>
        <w:pStyle w:val="p"/>
        <w:spacing w:before="120" w:after="120" w:line="360" w:lineRule="auto"/>
      </w:pPr>
      <w:r>
        <w:rPr>
          <w:lang w:val="en-GB" w:eastAsia="en-GB" w:bidi="en-GB"/>
        </w:rPr>
        <w:t>3. An isolated DNA comprising at least 15 consecutive nucleotides of the DNA of claim 2.</w:t>
      </w:r>
    </w:p>
    <w:p w:rsidR="008F1D68" w:rsidRDefault="00D84F8B" w14:paraId="69BB20C2" w14:textId="77777777">
      <w:pPr>
        <w:pStyle w:val="p"/>
        <w:spacing w:before="120" w:after="120" w:line="360" w:lineRule="auto"/>
      </w:pPr>
      <w:r>
        <w:rPr>
          <w:lang w:val="en-GB" w:eastAsia="en-GB" w:bidi="en-GB"/>
        </w:rPr>
        <w:t>4. An isolated mutant DNA selected from the group consisting of: (a) SEQ ID NO: 1 having an additional cytosine at nucleotide position 5385; (b) SEQ ID NO: 1 having guanine at nucleotide position 5443; and (c) SEQ ID NO: 1 having nucleotides 189-199 deleted.</w:t>
      </w:r>
    </w:p>
    <w:p w:rsidR="008F1D68" w:rsidRDefault="00D84F8B" w14:paraId="4AE49408" w14:textId="77777777">
      <w:pPr>
        <w:pStyle w:val="p"/>
        <w:spacing w:before="120" w:after="120" w:line="360" w:lineRule="auto"/>
      </w:pPr>
      <w:r>
        <w:rPr>
          <w:lang w:val="en-GB" w:eastAsia="en-GB" w:bidi="en-GB"/>
        </w:rPr>
        <w:t>5. A pair of single-stranded DNA primers for determining whether a sample contains the FICPI1 gene, the sequences of said primers being derived from human chromosome 17q, wherein use of said primers in a polymerase chain reaction results in synthesis of DNA having all or part of the sequence of the gene.</w:t>
      </w:r>
    </w:p>
    <w:p w:rsidR="008F1D68" w:rsidRDefault="00D84F8B" w14:paraId="3E0FE3C7" w14:textId="77777777">
      <w:pPr>
        <w:pStyle w:val="p"/>
        <w:spacing w:before="120" w:after="120" w:line="360" w:lineRule="auto"/>
      </w:pPr>
      <w:r>
        <w:rPr>
          <w:lang w:val="en-GB" w:eastAsia="en-GB" w:bidi="en-GB"/>
        </w:rPr>
        <w:t>6. A kit for detecting mutations associated with susceptibility to breast or ovarian cancer, comprising at least one oligonucleotide primer or allele-specific oligonucleotide probe specific for a mutation in the FICPI1 gene and instructions for detecting the mutation.</w:t>
      </w:r>
    </w:p>
    <w:p w:rsidR="008F1D68" w:rsidRDefault="00D84F8B" w14:paraId="02A22037" w14:textId="77777777">
      <w:pPr>
        <w:pStyle w:val="p"/>
        <w:spacing w:before="120" w:after="120" w:line="360" w:lineRule="auto"/>
      </w:pPr>
      <w:r>
        <w:rPr>
          <w:lang w:val="en-GB" w:eastAsia="en-GB" w:bidi="en-GB"/>
        </w:rPr>
        <w:t>7. A method for detecting a mutant allele of the FICPI1 gene in a sample, comprising amplifying a portion of the gene from nucleic acid in the sample and determining whether the amplified portion differs from the corresponding sequence of SEQ ID NO: 1.</w:t>
      </w:r>
    </w:p>
    <w:p w:rsidR="008F1D68" w:rsidRDefault="00D84F8B" w14:paraId="20BA8612" w14:textId="77777777">
      <w:pPr>
        <w:pStyle w:val="p"/>
        <w:spacing w:before="120" w:after="120" w:line="360" w:lineRule="auto"/>
        <w:rPr>
          <w:lang w:val="en-GB" w:eastAsia="en-GB" w:bidi="en-GB"/>
        </w:rPr>
      </w:pPr>
      <w:r>
        <w:rPr>
          <w:lang w:val="en-GB" w:eastAsia="en-GB" w:bidi="en-GB"/>
        </w:rPr>
        <w:t>8. The method of claim 7, wherein the determining step comprises direct sequencing, digestion with a restriction enzyme, hybridisation with an allele-specific oligonucleotide, or single-strand conformation analysis.</w:t>
      </w:r>
    </w:p>
    <w:p w:rsidR="00B55116" w:rsidRDefault="00B55116" w14:paraId="78148B20" w14:textId="472A505F">
      <w:pPr>
        <w:spacing w:line="240" w:lineRule="auto"/>
        <w:rPr>
          <w:lang w:val="en-GB" w:eastAsia="en-GB" w:bidi="en-GB"/>
        </w:rPr>
      </w:pPr>
      <w:r>
        <w:rPr>
          <w:lang w:val="en-GB" w:eastAsia="en-GB" w:bidi="en-GB"/>
        </w:rPr>
        <w:br w:type="page"/>
      </w:r>
    </w:p>
    <w:p w:rsidR="00B55116" w:rsidRDefault="00B55116" w14:paraId="3D5A2F31" w14:textId="77777777">
      <w:pPr>
        <w:pStyle w:val="p"/>
        <w:spacing w:before="120" w:after="120" w:line="360" w:lineRule="auto"/>
      </w:pPr>
    </w:p>
    <w:p w:rsidR="00B55116" w:rsidP="00B55116" w:rsidRDefault="00B55116" w14:paraId="79C8133B" w14:textId="77777777">
      <w:r>
        <w:rPr>
          <w:noProof/>
        </w:rPr>
        <w:drawing>
          <wp:anchor distT="0" distB="0" distL="114300" distR="114300" simplePos="0" relativeHeight="251659264" behindDoc="0" locked="0" layoutInCell="1" allowOverlap="1" wp14:anchorId="0B96BD97" wp14:editId="30F406C6">
            <wp:simplePos x="0" y="0"/>
            <wp:positionH relativeFrom="page">
              <wp:posOffset>0</wp:posOffset>
            </wp:positionH>
            <wp:positionV relativeFrom="page">
              <wp:posOffset>0</wp:posOffset>
            </wp:positionV>
            <wp:extent cx="7556500" cy="10693400"/>
            <wp:effectExtent l="0" t="0" r="0" b="0"/>
            <wp:wrapNone/>
            <wp:docPr id="100001" name="Picture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7"/>
                    <a:stretch>
                      <a:fillRect/>
                    </a:stretch>
                  </pic:blipFill>
                  <pic:spPr>
                    <a:xfrm>
                      <a:off x="0" y="0"/>
                      <a:ext cx="7556500" cy="10693400"/>
                    </a:xfrm>
                    <a:prstGeom prst="rect">
                      <a:avLst/>
                    </a:prstGeom>
                  </pic:spPr>
                </pic:pic>
              </a:graphicData>
            </a:graphic>
          </wp:anchor>
        </w:drawing>
      </w:r>
      <w:r>
        <w:rPr>
          <w:noProof/>
        </w:rPr>
        <mc:AlternateContent>
          <mc:Choice Requires="wps">
            <w:drawing>
              <wp:anchor distT="0" distB="0" distL="114300" distR="114300" simplePos="0" relativeHeight="251660288" behindDoc="0" locked="0" layoutInCell="1" allowOverlap="1" wp14:anchorId="1CB4A742" wp14:editId="598153D6">
                <wp:simplePos x="0" y="0"/>
                <wp:positionH relativeFrom="page">
                  <wp:align>center</wp:align>
                </wp:positionH>
                <wp:positionV relativeFrom="page">
                  <wp:posOffset>914400</wp:posOffset>
                </wp:positionV>
                <wp:extent cx="1270000" cy="381000"/>
                <wp:effectExtent l="0" t="0" r="10500" b="21590"/>
                <wp:wrapNone/>
                <wp:docPr id="100004" name="TextBox 100004"/>
                <wp:cNvGraphicFramePr/>
                <a:graphic xmlns:a="http://schemas.openxmlformats.org/drawingml/2006/main">
                  <a:graphicData uri="http://schemas.microsoft.com/office/word/2010/wordprocessingShape">
                    <wps:wsp>
                      <wps:cNvSpPr txBox="1"/>
                      <wps:spPr>
                        <a:xfrm>
                          <a:off x="0" y="0"/>
                          <a:ext cx="1270000" cy="381000"/>
                        </a:xfrm>
                        <a:prstGeom prst="rect">
                          <a:avLst/>
                        </a:prstGeom>
                        <a:noFill/>
                        <a:ln w="6350">
                          <a:noFill/>
                        </a:ln>
                      </wps:spPr>
                      <wps:txbx>
                        <w:txbxContent>
                          <w:p w:rsidR="00B55116" w:rsidP="00B55116" w:rsidRDefault="00B55116" w14:paraId="16243B9C" w14:textId="77777777">
                            <w:pPr>
                              <w:jc w:val="center"/>
                            </w:pPr>
                            <w:r>
                              <w:rPr>
                                <w:color w:val="000000"/>
                                <w:sz w:val="28"/>
                              </w:rPr>
                              <w:t>1/1</w:t>
                            </w:r>
                          </w:p>
                        </w:txbxContent>
                      </wps:txbx>
                      <wps:bodyPr anchor="t" compatLnSpc="1">
                        <a:prstTxWarp prst="textNoShape">
                          <a:avLst/>
                        </a:prstTxWarp>
                      </wps:bodyPr>
                    </wps:wsp>
                  </a:graphicData>
                </a:graphic>
              </wp:anchor>
            </w:drawing>
          </mc:Choice>
          <mc:Fallback>
            <w:pict>
              <v:shapetype id="_x0000_t202" coordsize="21600,21600" o:spt="202" path="m,l,21600r21600,l21600,xe" w14:anchorId="1CB4A742">
                <v:stroke joinstyle="miter"/>
                <v:path gradientshapeok="t" o:connecttype="rect"/>
              </v:shapetype>
              <v:shape id="TextBox 100004" style="position:absolute;margin-left:0;margin-top:1in;width:100pt;height:30pt;z-index:251660288;visibility:visible;mso-wrap-style:square;mso-wrap-distance-left:9pt;mso-wrap-distance-top:0;mso-wrap-distance-right:9pt;mso-wrap-distance-bottom:0;mso-position-horizontal:center;mso-position-horizontal-relative:page;mso-position-vertical:absolute;mso-position-vertical-relative:page;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">
                <v:textbox>
                  <w:txbxContent>
                    <w:p w:rsidR="00B55116" w:rsidP="00B55116" w:rsidRDefault="00B55116" w14:paraId="16243B9C" w14:textId="77777777">
                      <w:pPr>
                        <w:jc w:val="center"/>
                      </w:pPr>
                      <w:r>
                        <w:rPr>
                          <w:color w:val="000000"/>
                          <w:sz w:val="28"/>
                        </w:rPr>
                        <w:t>1/1</w:t>
                      </w:r>
                    </w:p>
                  </w:txbxContent>
                </v:textbox>
                <w10:wrap anchorx="page" anchory="page"/>
              </v:shape>
            </w:pict>
          </mc:Fallback>
        </mc:AlternateContent>
      </w:r>
    </w:p>
    <w:p w:rsidR="008F1D68" w:rsidRDefault="00D84F8B" w14:paraId="2EB61AD6" w14:textId="77777777">
      <w:pPr>
        <w:pStyle w:val="Heading2"/>
        <w:keepNext w:val="0"/>
        <w:keepLines w:val="0"/>
        <w:spacing w:before="199" w:after="199" w:line="360" w:lineRule="auto"/>
      </w:pPr>
      <w:r>
        <w:rPr>
          <w:lang w:val="en-GB" w:eastAsia="en-GB" w:bidi="en-GB"/>
        </w:rPr>
        <w:br w:type="page"/>
      </w:r>
      <w:r>
        <w:rPr>
          <w:color w:val="auto"/>
          <w:u w:val="single"/>
          <w:lang w:val="en-GB" w:eastAsia="en-GB" w:bidi="en-GB"/>
        </w:rPr>
        <w:t>Abstract</w:t>
      </w:r>
    </w:p>
    <w:p w:rsidR="008F1D68" w:rsidRDefault="00D84F8B" w14:paraId="1B305A5D" w14:textId="77777777">
      <w:pPr>
        <w:pStyle w:val="p"/>
        <w:spacing w:before="120" w:after="300" w:line="360" w:lineRule="auto"/>
      </w:pPr>
      <w:r>
        <w:rPr>
          <w:lang w:val="en-GB" w:eastAsia="en-GB" w:bidi="en-GB"/>
        </w:rPr>
        <w:t>The disclosure concerns an isolated human cancer-susceptibility gene, its encoded polypeptide, mutant alleles associated with susceptibility to breast and ovarian cancer, and methods and kits for detecting mutations in the gene.</w:t>
      </w:r>
    </w:p>
    <w:sectPr w:rsidR="008F1D68">
      <w:footerReference w:type="default" r:id="rId8"/>
      <w:pgSz w:w="11900" w:h="16840" w:orient="portrait"/>
      <w:pgMar w:top="1440" w:right="1080" w:bottom="1440" w:left="1080" w:header="708" w:footer="708" w:gutter="0"/>
      <w:cols w:space="708"/>
      <w:headerReference w:type="default" r:id="R0ea53d3dc54f4d3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84F8B" w:rsidRDefault="00D84F8B" w14:paraId="278BD59F" w14:textId="77777777">
      <w:pPr>
        <w:spacing w:line="240" w:lineRule="auto"/>
      </w:pPr>
      <w:r>
        <w:separator/>
      </w:r>
    </w:p>
  </w:endnote>
  <w:endnote w:type="continuationSeparator" w:id="0">
    <w:p w:rsidR="00D84F8B" w:rsidRDefault="00D84F8B" w14:paraId="1B10B410"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F1D68" w:rsidP="462615B9" w:rsidRDefault="00D84F8B" w14:paraId="6A2628AF" w14:textId="77777777">
    <w:pPr>
      <w:spacing w:line="360" w:lineRule="auto"/>
      <w:jc w:val="center"/>
      <w:rPr>
        <w:lang w:val="en-GB" w:eastAsia="en-GB" w:bidi="en-GB"/>
      </w:rPr>
    </w:pPr>
    <w:r w:rsidRPr="462615B9">
      <w:rPr>
        <w:lang w:val="en-GB" w:eastAsia="en-GB" w:bidi="en-GB"/>
      </w:rPr>
      <w:fldChar w:fldCharType="begin"/>
    </w:r>
    <w:r w:rsidRPr="462615B9">
      <w:rPr>
        <w:lang w:val="en-GB" w:eastAsia="en-GB" w:bidi="en-GB"/>
      </w:rPr>
      <w:instrText xml:space="preserve">PAGE</w:instrText>
    </w:r>
    <w:r>
      <w:fldChar w:fldCharType="separate"/>
    </w:r>
    <w:r w:rsidRPr="462615B9" w:rsidR="462615B9">
      <w:rPr>
        <w:lang w:val="en-GB" w:eastAsia="en-GB" w:bidi="en-GB"/>
      </w:rPr>
      <w:t xml:space="preserve"> \* MERGEFORMAT</w:t>
    </w:r>
    <w:r w:rsidRPr="462615B9">
      <w:rPr>
        <w:lang w:val="en-GB" w:eastAsia="en-GB" w:bidi="en-GB"/>
      </w:rPr>
      <w:fldChar w:fldCharType="end"/>
    </w:r>
  </w:p>
  <w:p w:rsidR="462615B9" w:rsidP="462615B9" w:rsidRDefault="462615B9" w14:paraId="672D6367" w14:textId="0ABBF756">
    <w:pPr>
      <w:pStyle w:val="Footer"/>
      <w:tabs>
        <w:tab w:val="center" w:leader="none" w:pos="4680"/>
        <w:tab w:val="right" w:leader="none" w:pos="9360"/>
      </w:tabs>
      <w:spacing w:after="0" w:line="240" w:lineRule="auto"/>
      <w:jc w:val="center"/>
      <w:rPr>
        <w:rFonts w:ascii="Times New Roman" w:hAnsi="Times New Roman" w:eastAsia="Times New Roman" w:cs="Times New Roman"/>
        <w:noProof w:val="0"/>
        <w:sz w:val="24"/>
        <w:szCs w:val="24"/>
        <w:lang w:val="en-GB"/>
      </w:rPr>
    </w:pPr>
    <w:r w:rsidRPr="462615B9" w:rsidR="462615B9">
      <w:rPr>
        <w:rFonts w:ascii="Aptos" w:hAnsi="Aptos" w:eastAsia="Aptos" w:cs="Aptos"/>
        <w:b w:val="0"/>
        <w:bCs w:val="0"/>
        <w:i w:val="0"/>
        <w:iCs w:val="0"/>
        <w:caps w:val="0"/>
        <w:smallCaps w:val="0"/>
        <w:noProof w:val="0"/>
        <w:color w:val="707070"/>
        <w:sz w:val="14"/>
        <w:szCs w:val="14"/>
        <w:lang w:val="en-US"/>
      </w:rPr>
      <w:t>© 2026 FICPI. All rights reserved. Prepared for the FICPI AI Patent Drafting Masterclass, Budapest, 16 September 2026. For the use of registered delegates only; not for further reproduction or distribution without permission.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84F8B" w:rsidRDefault="00D84F8B" w14:paraId="463736C5" w14:textId="77777777">
      <w:pPr>
        <w:spacing w:line="240" w:lineRule="auto"/>
      </w:pPr>
      <w:r>
        <w:separator/>
      </w:r>
    </w:p>
  </w:footnote>
  <w:footnote w:type="continuationSeparator" w:id="0">
    <w:p w:rsidR="00D84F8B" w:rsidRDefault="00D84F8B" w14:paraId="6F8ACAB4" w14:textId="77777777">
      <w:pPr>
        <w:spacing w:line="240" w:lineRule="auto"/>
      </w:pPr>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245"/>
      <w:gridCol w:w="3245"/>
      <w:gridCol w:w="3245"/>
    </w:tblGrid>
    <w:tr w:rsidR="462615B9" w:rsidTr="462615B9" w14:paraId="1AD2F655">
      <w:trPr>
        <w:trHeight w:val="300"/>
      </w:trPr>
      <w:tc>
        <w:tcPr>
          <w:tcW w:w="3245" w:type="dxa"/>
          <w:tcMar/>
        </w:tcPr>
        <w:p w:rsidR="462615B9" w:rsidP="462615B9" w:rsidRDefault="462615B9" w14:paraId="36C44161" w14:textId="01C92C53">
          <w:pPr>
            <w:pStyle w:val="Header"/>
            <w:bidi w:val="0"/>
            <w:ind w:left="-115"/>
            <w:jc w:val="left"/>
          </w:pPr>
        </w:p>
      </w:tc>
      <w:tc>
        <w:tcPr>
          <w:tcW w:w="3245" w:type="dxa"/>
          <w:tcMar/>
        </w:tcPr>
        <w:p w:rsidR="462615B9" w:rsidP="462615B9" w:rsidRDefault="462615B9" w14:paraId="41D68695" w14:textId="3F649EB1">
          <w:pPr>
            <w:pStyle w:val="Header"/>
            <w:bidi w:val="0"/>
            <w:jc w:val="center"/>
          </w:pPr>
        </w:p>
      </w:tc>
      <w:tc>
        <w:tcPr>
          <w:tcW w:w="3245" w:type="dxa"/>
          <w:tcMar/>
        </w:tcPr>
        <w:p w:rsidR="462615B9" w:rsidP="462615B9" w:rsidRDefault="462615B9" w14:paraId="28F0840B" w14:textId="7F434B78">
          <w:pPr>
            <w:pStyle w:val="Header"/>
            <w:bidi w:val="0"/>
            <w:ind w:right="-115"/>
            <w:jc w:val="right"/>
          </w:pPr>
        </w:p>
      </w:tc>
    </w:tr>
  </w:tbl>
  <w:p w:rsidR="462615B9" w:rsidP="462615B9" w:rsidRDefault="462615B9" w14:paraId="14E23A00" w14:textId="68E62A9A">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7128F"/>
    <w:multiLevelType w:val="hybridMultilevel"/>
    <w:tmpl w:val="A03EFBDA"/>
    <w:lvl w:ilvl="0" w:tplc="863E6FF4">
      <w:start w:val="1"/>
      <mc:AlternateContent>
        <mc:Choice Requires="w14">
          <w:numFmt w:val="custom" w:format="0001, 0002, 0003, ..."/>
        </mc:Choice>
        <mc:Fallback>
          <w:numFmt w:val="decimal"/>
        </mc:Fallback>
      </mc:AlternateContent>
      <w:lvlText w:val="[%1]"/>
      <w:lvlJc w:val="left"/>
      <w:pPr>
        <w:tabs>
          <w:tab w:val="num" w:pos="1134"/>
        </w:tabs>
        <w:ind w:left="0" w:firstLine="0"/>
      </w:pPr>
      <w:rPr>
        <w:rFonts w:hint="default" w:ascii="Arial" w:hAnsi="Arial" w:eastAsia="Arial" w:cs="Arial"/>
        <w:b w:val="0"/>
        <w:bCs/>
        <w:sz w:val="22"/>
      </w:rPr>
    </w:lvl>
    <w:lvl w:ilvl="1" w:tplc="6FD476A8" w:tentative="1">
      <w:start w:val="1"/>
      <w:numFmt w:val="lowerLetter"/>
      <w:lvlText w:val="%2."/>
      <w:lvlJc w:val="left"/>
      <w:pPr>
        <w:ind w:left="1440" w:hanging="360"/>
      </w:pPr>
      <w:rPr>
        <w:rFonts w:ascii="Arial" w:hAnsi="Arial" w:eastAsia="Arial" w:cs="Arial"/>
        <w:b w:val="0"/>
        <w:sz w:val="22"/>
      </w:rPr>
    </w:lvl>
    <w:lvl w:ilvl="2" w:tplc="777C324C" w:tentative="1">
      <w:start w:val="1"/>
      <w:numFmt w:val="lowerRoman"/>
      <w:lvlText w:val="%3."/>
      <w:lvlJc w:val="right"/>
      <w:pPr>
        <w:ind w:left="2160" w:hanging="180"/>
      </w:pPr>
      <w:rPr>
        <w:rFonts w:ascii="Arial" w:hAnsi="Arial" w:eastAsia="Arial" w:cs="Arial"/>
        <w:b w:val="0"/>
        <w:sz w:val="22"/>
      </w:rPr>
    </w:lvl>
    <w:lvl w:ilvl="3" w:tplc="E01C3B4E" w:tentative="1">
      <w:start w:val="1"/>
      <w:numFmt w:val="decimal"/>
      <w:lvlText w:val="%4."/>
      <w:lvlJc w:val="left"/>
      <w:pPr>
        <w:ind w:left="2880" w:hanging="360"/>
      </w:pPr>
      <w:rPr>
        <w:rFonts w:ascii="Arial" w:hAnsi="Arial" w:eastAsia="Arial" w:cs="Arial"/>
        <w:b w:val="0"/>
        <w:sz w:val="22"/>
      </w:rPr>
    </w:lvl>
    <w:lvl w:ilvl="4" w:tplc="6B16834A" w:tentative="1">
      <w:start w:val="1"/>
      <w:numFmt w:val="lowerLetter"/>
      <w:lvlText w:val="%5."/>
      <w:lvlJc w:val="left"/>
      <w:pPr>
        <w:ind w:left="3600" w:hanging="360"/>
      </w:pPr>
      <w:rPr>
        <w:rFonts w:ascii="Arial" w:hAnsi="Arial" w:eastAsia="Arial" w:cs="Arial"/>
        <w:b w:val="0"/>
        <w:sz w:val="22"/>
      </w:rPr>
    </w:lvl>
    <w:lvl w:ilvl="5" w:tplc="392E00E6" w:tentative="1">
      <w:start w:val="1"/>
      <w:numFmt w:val="lowerRoman"/>
      <w:lvlText w:val="%6."/>
      <w:lvlJc w:val="right"/>
      <w:pPr>
        <w:ind w:left="4320" w:hanging="180"/>
      </w:pPr>
      <w:rPr>
        <w:rFonts w:ascii="Arial" w:hAnsi="Arial" w:eastAsia="Arial" w:cs="Arial"/>
        <w:b w:val="0"/>
        <w:sz w:val="22"/>
      </w:rPr>
    </w:lvl>
    <w:lvl w:ilvl="6" w:tplc="C31C91DE" w:tentative="1">
      <w:start w:val="1"/>
      <w:numFmt w:val="decimal"/>
      <w:lvlText w:val="%7."/>
      <w:lvlJc w:val="left"/>
      <w:pPr>
        <w:ind w:left="5040" w:hanging="360"/>
      </w:pPr>
      <w:rPr>
        <w:rFonts w:ascii="Arial" w:hAnsi="Arial" w:eastAsia="Arial" w:cs="Arial"/>
        <w:b w:val="0"/>
        <w:sz w:val="22"/>
      </w:rPr>
    </w:lvl>
    <w:lvl w:ilvl="7" w:tplc="5B482E04" w:tentative="1">
      <w:start w:val="1"/>
      <w:numFmt w:val="lowerLetter"/>
      <w:lvlText w:val="%8."/>
      <w:lvlJc w:val="left"/>
      <w:pPr>
        <w:ind w:left="5760" w:hanging="360"/>
      </w:pPr>
      <w:rPr>
        <w:rFonts w:ascii="Arial" w:hAnsi="Arial" w:eastAsia="Arial" w:cs="Arial"/>
        <w:b w:val="0"/>
        <w:sz w:val="22"/>
      </w:rPr>
    </w:lvl>
    <w:lvl w:ilvl="8" w:tplc="A2C4B91C" w:tentative="1">
      <w:start w:val="1"/>
      <w:numFmt w:val="lowerRoman"/>
      <w:lvlText w:val="%9."/>
      <w:lvlJc w:val="right"/>
      <w:pPr>
        <w:ind w:left="6480" w:hanging="180"/>
      </w:pPr>
      <w:rPr>
        <w:rFonts w:ascii="Arial" w:hAnsi="Arial" w:eastAsia="Arial" w:cs="Arial"/>
        <w:b w:val="0"/>
        <w:sz w:val="22"/>
      </w:rPr>
    </w:lvl>
  </w:abstractNum>
  <w:abstractNum w:abstractNumId="1" w15:restartNumberingAfterBreak="0">
    <w:nsid w:val="68AB4791"/>
    <w:multiLevelType w:val="hybridMultilevel"/>
    <w:tmpl w:val="8F3EAFEA"/>
    <w:lvl w:ilvl="0" w:tplc="D3F859A2">
      <w:start w:val="1"/>
      <mc:AlternateContent>
        <mc:Choice Requires="w14">
          <w:numFmt w:val="custom" w:format="0001, 0002, 0003, ..."/>
        </mc:Choice>
        <mc:Fallback>
          <w:numFmt w:val="decimal"/>
        </mc:Fallback>
      </mc:AlternateContent>
      <w:lvlText w:val="[%1]"/>
      <w:lvlJc w:val="left"/>
      <w:pPr>
        <w:ind w:left="720" w:hanging="360"/>
      </w:pPr>
      <w:rPr>
        <w:rFonts w:hint="default" w:ascii="Arial" w:hAnsi="Arial" w:eastAsia="Arial" w:cs="Arial"/>
        <w:b w:val="0"/>
        <w:sz w:val="22"/>
      </w:rPr>
    </w:lvl>
    <w:lvl w:ilvl="1" w:tplc="23D2A430" w:tentative="1">
      <w:start w:val="1"/>
      <w:numFmt w:val="lowerLetter"/>
      <w:lvlText w:val="%2."/>
      <w:lvlJc w:val="left"/>
      <w:pPr>
        <w:ind w:left="1440" w:hanging="360"/>
      </w:pPr>
      <w:rPr>
        <w:rFonts w:ascii="Arial" w:hAnsi="Arial" w:eastAsia="Arial" w:cs="Arial"/>
        <w:b w:val="0"/>
        <w:sz w:val="22"/>
      </w:rPr>
    </w:lvl>
    <w:lvl w:ilvl="2" w:tplc="3E4C7114" w:tentative="1">
      <w:start w:val="1"/>
      <w:numFmt w:val="lowerRoman"/>
      <w:lvlText w:val="%3."/>
      <w:lvlJc w:val="right"/>
      <w:pPr>
        <w:ind w:left="2160" w:hanging="180"/>
      </w:pPr>
      <w:rPr>
        <w:rFonts w:ascii="Arial" w:hAnsi="Arial" w:eastAsia="Arial" w:cs="Arial"/>
        <w:b w:val="0"/>
        <w:sz w:val="22"/>
      </w:rPr>
    </w:lvl>
    <w:lvl w:ilvl="3" w:tplc="A45C003E" w:tentative="1">
      <w:start w:val="1"/>
      <w:numFmt w:val="decimal"/>
      <w:lvlText w:val="%4."/>
      <w:lvlJc w:val="left"/>
      <w:pPr>
        <w:ind w:left="2880" w:hanging="360"/>
      </w:pPr>
      <w:rPr>
        <w:rFonts w:ascii="Arial" w:hAnsi="Arial" w:eastAsia="Arial" w:cs="Arial"/>
        <w:b w:val="0"/>
        <w:sz w:val="22"/>
      </w:rPr>
    </w:lvl>
    <w:lvl w:ilvl="4" w:tplc="C45A3E22" w:tentative="1">
      <w:start w:val="1"/>
      <w:numFmt w:val="lowerLetter"/>
      <w:lvlText w:val="%5."/>
      <w:lvlJc w:val="left"/>
      <w:pPr>
        <w:ind w:left="3600" w:hanging="360"/>
      </w:pPr>
      <w:rPr>
        <w:rFonts w:ascii="Arial" w:hAnsi="Arial" w:eastAsia="Arial" w:cs="Arial"/>
        <w:b w:val="0"/>
        <w:sz w:val="22"/>
      </w:rPr>
    </w:lvl>
    <w:lvl w:ilvl="5" w:tplc="0400CC74" w:tentative="1">
      <w:start w:val="1"/>
      <w:numFmt w:val="lowerRoman"/>
      <w:lvlText w:val="%6."/>
      <w:lvlJc w:val="right"/>
      <w:pPr>
        <w:ind w:left="4320" w:hanging="180"/>
      </w:pPr>
      <w:rPr>
        <w:rFonts w:ascii="Arial" w:hAnsi="Arial" w:eastAsia="Arial" w:cs="Arial"/>
        <w:b w:val="0"/>
        <w:sz w:val="22"/>
      </w:rPr>
    </w:lvl>
    <w:lvl w:ilvl="6" w:tplc="F230C5FC" w:tentative="1">
      <w:start w:val="1"/>
      <w:numFmt w:val="decimal"/>
      <w:lvlText w:val="%7."/>
      <w:lvlJc w:val="left"/>
      <w:pPr>
        <w:ind w:left="5040" w:hanging="360"/>
      </w:pPr>
      <w:rPr>
        <w:rFonts w:ascii="Arial" w:hAnsi="Arial" w:eastAsia="Arial" w:cs="Arial"/>
        <w:b w:val="0"/>
        <w:sz w:val="22"/>
      </w:rPr>
    </w:lvl>
    <w:lvl w:ilvl="7" w:tplc="C75A56F2" w:tentative="1">
      <w:start w:val="1"/>
      <w:numFmt w:val="lowerLetter"/>
      <w:lvlText w:val="%8."/>
      <w:lvlJc w:val="left"/>
      <w:pPr>
        <w:ind w:left="5760" w:hanging="360"/>
      </w:pPr>
      <w:rPr>
        <w:rFonts w:ascii="Arial" w:hAnsi="Arial" w:eastAsia="Arial" w:cs="Arial"/>
        <w:b w:val="0"/>
        <w:sz w:val="22"/>
      </w:rPr>
    </w:lvl>
    <w:lvl w:ilvl="8" w:tplc="E7DCA554" w:tentative="1">
      <w:start w:val="1"/>
      <w:numFmt w:val="lowerRoman"/>
      <w:lvlText w:val="%9."/>
      <w:lvlJc w:val="right"/>
      <w:pPr>
        <w:ind w:left="6480" w:hanging="180"/>
      </w:pPr>
      <w:rPr>
        <w:rFonts w:ascii="Arial" w:hAnsi="Arial" w:eastAsia="Arial" w:cs="Arial"/>
        <w:b w:val="0"/>
        <w:sz w:val="22"/>
      </w:rPr>
    </w:lvl>
  </w:abstractNum>
  <w:num w:numId="1" w16cid:durableId="2098405015">
    <w:abstractNumId w:val="1"/>
  </w:num>
  <w:num w:numId="2" w16cid:durableId="4319024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D68"/>
    <w:rsid w:val="008F1D68"/>
    <w:rsid w:val="0099332F"/>
    <w:rsid w:val="00B55116"/>
    <w:rsid w:val="00D36343"/>
    <w:rsid w:val="00D84F8B"/>
    <w:rsid w:val="36ECFFDE"/>
    <w:rsid w:val="462615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72D09"/>
  <w15:docId w15:val="{AC378B5A-CDC7-4A81-ACB9-A037B3763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5BCE"/>
    <w:pPr>
      <w:spacing w:line="480" w:lineRule="atLeast"/>
    </w:pPr>
    <w:rPr>
      <w:sz w:val="24"/>
      <w:szCs w:val="24"/>
    </w:rPr>
  </w:style>
  <w:style w:type="paragraph" w:styleId="Heading1">
    <w:name w:val="heading 1"/>
    <w:basedOn w:val="Normal"/>
    <w:next w:val="Normal"/>
    <w:link w:val="Heading1Char"/>
    <w:uiPriority w:val="9"/>
    <w:qFormat/>
    <w:rsid w:val="00506D7A"/>
    <w:pPr>
      <w:keepNext/>
      <w:keepLines/>
      <w:spacing w:before="240"/>
      <w:outlineLvl w:val="0"/>
    </w:pPr>
    <w:rPr>
      <w:color w:val="2F5496"/>
      <w:kern w:val="36"/>
    </w:rPr>
  </w:style>
  <w:style w:type="paragraph" w:styleId="Heading2">
    <w:name w:val="heading 2"/>
    <w:basedOn w:val="Normal"/>
    <w:next w:val="Normal"/>
    <w:link w:val="Heading2Char"/>
    <w:uiPriority w:val="9"/>
    <w:qFormat/>
    <w:rsid w:val="00506D7A"/>
    <w:pPr>
      <w:keepNext/>
      <w:keepLines/>
      <w:spacing w:before="40"/>
      <w:outlineLvl w:val="1"/>
    </w:pPr>
    <w:rPr>
      <w:color w:val="2F5496"/>
    </w:rPr>
  </w:style>
  <w:style w:type="paragraph" w:styleId="Heading3">
    <w:name w:val="heading 3"/>
    <w:basedOn w:val="Normal"/>
    <w:next w:val="Normal"/>
    <w:link w:val="Heading3Char"/>
    <w:uiPriority w:val="9"/>
    <w:qFormat/>
    <w:rsid w:val="00506D7A"/>
    <w:pPr>
      <w:keepNext/>
      <w:keepLines/>
      <w:spacing w:before="40"/>
      <w:outlineLvl w:val="2"/>
    </w:pPr>
    <w:rPr>
      <w:color w:val="1F3763"/>
    </w:rPr>
  </w:style>
  <w:style w:type="paragraph" w:styleId="Heading4">
    <w:name w:val="heading 4"/>
    <w:basedOn w:val="Normal"/>
    <w:next w:val="Normal"/>
    <w:link w:val="Heading4Char"/>
    <w:uiPriority w:val="9"/>
    <w:qFormat/>
    <w:rsid w:val="00506D7A"/>
    <w:pPr>
      <w:keepNext/>
      <w:keepLines/>
      <w:spacing w:before="40"/>
      <w:outlineLvl w:val="3"/>
    </w:pPr>
    <w:rPr>
      <w:iCs/>
      <w:color w:val="2F5496"/>
    </w:rPr>
  </w:style>
  <w:style w:type="paragraph" w:styleId="Heading5">
    <w:name w:val="heading 5"/>
    <w:basedOn w:val="Normal"/>
    <w:next w:val="Normal"/>
    <w:link w:val="Heading5Char"/>
    <w:uiPriority w:val="9"/>
    <w:qFormat/>
    <w:rsid w:val="00506D7A"/>
    <w:pPr>
      <w:keepNext/>
      <w:keepLines/>
      <w:spacing w:before="40"/>
      <w:outlineLvl w:val="4"/>
    </w:pPr>
    <w:rPr>
      <w:color w:val="2F5496"/>
    </w:rPr>
  </w:style>
  <w:style w:type="paragraph" w:styleId="Heading6">
    <w:name w:val="heading 6"/>
    <w:basedOn w:val="Normal"/>
    <w:next w:val="Normal"/>
    <w:link w:val="Heading6Char"/>
    <w:uiPriority w:val="9"/>
    <w:qFormat/>
    <w:rsid w:val="00506D7A"/>
    <w:pPr>
      <w:keepNext/>
      <w:keepLines/>
      <w:spacing w:before="40"/>
      <w:outlineLvl w:val="5"/>
    </w:pPr>
    <w:rPr>
      <w:color w:val="1F3763"/>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06D7A"/>
    <w:rPr>
      <w:rFonts w:ascii="Calibri Light" w:hAnsi="Calibri Light" w:eastAsia="Times New Roman" w:cs="Times New Roman"/>
      <w:color w:val="2F5496"/>
      <w:sz w:val="32"/>
      <w:szCs w:val="32"/>
    </w:rPr>
  </w:style>
  <w:style w:type="character" w:styleId="Heading2Char" w:customStyle="1">
    <w:name w:val="Heading 2 Char"/>
    <w:basedOn w:val="DefaultParagraphFont"/>
    <w:link w:val="Heading2"/>
    <w:uiPriority w:val="9"/>
    <w:rsid w:val="00506D7A"/>
    <w:rPr>
      <w:rFonts w:ascii="Calibri Light" w:hAnsi="Calibri Light" w:eastAsia="Times New Roman" w:cs="Times New Roman"/>
      <w:color w:val="2F5496"/>
      <w:sz w:val="26"/>
      <w:szCs w:val="26"/>
    </w:rPr>
  </w:style>
  <w:style w:type="character" w:styleId="Heading3Char" w:customStyle="1">
    <w:name w:val="Heading 3 Char"/>
    <w:basedOn w:val="DefaultParagraphFont"/>
    <w:link w:val="Heading3"/>
    <w:uiPriority w:val="9"/>
    <w:rsid w:val="00506D7A"/>
    <w:rPr>
      <w:rFonts w:ascii="Calibri Light" w:hAnsi="Calibri Light" w:eastAsia="Times New Roman" w:cs="Times New Roman"/>
      <w:color w:val="1F3763"/>
      <w:sz w:val="24"/>
      <w:szCs w:val="24"/>
    </w:rPr>
  </w:style>
  <w:style w:type="character" w:styleId="Heading4Char" w:customStyle="1">
    <w:name w:val="Heading 4 Char"/>
    <w:basedOn w:val="DefaultParagraphFont"/>
    <w:link w:val="Heading4"/>
    <w:uiPriority w:val="9"/>
    <w:rsid w:val="00506D7A"/>
    <w:rPr>
      <w:rFonts w:ascii="Calibri Light" w:hAnsi="Calibri Light" w:eastAsia="Times New Roman" w:cs="Times New Roman"/>
      <w:i/>
      <w:iCs/>
      <w:color w:val="2F5496"/>
    </w:rPr>
  </w:style>
  <w:style w:type="character" w:styleId="Heading5Char" w:customStyle="1">
    <w:name w:val="Heading 5 Char"/>
    <w:basedOn w:val="DefaultParagraphFont"/>
    <w:link w:val="Heading5"/>
    <w:uiPriority w:val="9"/>
    <w:rsid w:val="00506D7A"/>
    <w:rPr>
      <w:rFonts w:ascii="Calibri Light" w:hAnsi="Calibri Light" w:eastAsia="Times New Roman" w:cs="Times New Roman"/>
      <w:color w:val="2F5496"/>
    </w:rPr>
  </w:style>
  <w:style w:type="character" w:styleId="Heading6Char" w:customStyle="1">
    <w:name w:val="Heading 6 Char"/>
    <w:basedOn w:val="DefaultParagraphFont"/>
    <w:link w:val="Heading6"/>
    <w:uiPriority w:val="9"/>
    <w:rsid w:val="00506D7A"/>
    <w:rPr>
      <w:rFonts w:ascii="Calibri Light" w:hAnsi="Calibri Light" w:eastAsia="Times New Roman" w:cs="Times New Roman"/>
      <w:color w:val="1F3763"/>
    </w:rPr>
  </w:style>
  <w:style w:type="paragraph" w:styleId="p" w:customStyle="1">
    <w:name w:val="p"/>
    <w:basedOn w:val="Normal"/>
  </w:style>
  <w:style w:type="character" w:styleId="Emphasis">
    <w:name w:val="Emphasis"/>
    <w:basedOn w:val="DefaultParagraphFont"/>
    <w:uiPriority w:val="20"/>
    <w:qFormat/>
    <w:rsid w:val="00506D7A"/>
    <w:rPr>
      <w:i/>
      <w:iCs/>
    </w:rPr>
  </w:style>
  <w:style w:type="character" w:styleId="Strong">
    <w:name w:val="Strong"/>
    <w:basedOn w:val="DefaultParagraphFont"/>
    <w:uiPriority w:val="22"/>
    <w:qFormat/>
    <w:rsid w:val="00506D7A"/>
    <w:rPr>
      <w:b/>
      <w:bCs/>
    </w:rPr>
  </w:style>
  <w:style w:type="table" w:styleId="table" w:customStyle="1">
    <w:name w:val="table"/>
    <w:basedOn w:val="TableNormal"/>
    <w:tblPr/>
  </w:style>
  <w:style xmlns:w14="http://schemas.microsoft.com/office/word/2010/wordml" xmlns:mc="http://schemas.openxmlformats.org/markup-compatibility/2006" xmlns:w="http://schemas.openxmlformats.org/wordprocessingml/2006/main" w:type="table" w:styleId="PlainTable2" mc:Ignorable="w14">
    <w:name xmlns:w="http://schemas.openxmlformats.org/wordprocessingml/2006/main" w:val="Plain Table 2"/>
    <w:basedOn xmlns:w="http://schemas.openxmlformats.org/wordprocessingml/2006/main" w:val="TableNormal"/>
    <w:uiPriority xmlns:w="http://schemas.openxmlformats.org/wordprocessingml/2006/main" w:val="42"/>
    <w:pPr xmlns:w="http://schemas.openxmlformats.org/wordprocessingml/2006/main">
      <w:spacing xmlns:w="http://schemas.openxmlformats.org/wordprocessingml/2006/main" w:after="0" w:line="240" w:lineRule="auto"/>
    </w:pPr>
    <w:tblPr xmlns:w="http://schemas.openxmlformats.org/wordprocessingml/2006/main">
      <w:tblStyleRowBandSize w:val="1"/>
      <w:tblStyleColBandSize w:val="1"/>
      <w:tblInd w:w="0" w:type="dxa"/>
      <w:tblBorders>
        <w:top w:val="single" w:color="7F7F7F" w:themeColor="text1" w:themeTint="80" w:sz="4" w:space="0"/>
        <w:bottom w:val="single" w:color="7F7F7F" w:themeColor="text1" w:themeTint="80" w:sz="4" w:space="0"/>
      </w:tblBorders>
      <w:tblCellMar>
        <w:top w:w="0" w:type="dxa"/>
        <w:left w:w="108" w:type="dxa"/>
        <w:bottom w:w="0" w:type="dxa"/>
        <w:right w:w="108" w:type="dxa"/>
      </w:tblCellMar>
    </w:tblPr>
    <w:tblStylePr xmlns:w="http://schemas.openxmlformats.org/wordprocessingml/2006/main" w:type="firstRow">
      <w:rPr>
        <w:b/>
        <w:bCs/>
      </w:rPr>
      <w:tblPr/>
      <w:tcPr>
        <w:tcBorders>
          <w:bottom w:val="single" w:color="7F7F7F" w:themeColor="text1" w:themeTint="80" w:sz="4" w:space="0"/>
        </w:tcBorders>
      </w:tcPr>
    </w:tblStylePr>
    <w:tblStylePr xmlns:w="http://schemas.openxmlformats.org/wordprocessingml/2006/main" w:type="lastRow">
      <w:rPr>
        <w:b/>
        <w:bCs/>
      </w:rPr>
      <w:tblPr/>
      <w:tcPr>
        <w:tcBorders>
          <w:top w:val="single" w:color="7F7F7F" w:themeColor="text1" w:themeTint="80" w:sz="4" w:space="0"/>
        </w:tcBorders>
      </w:tcPr>
    </w:tblStylePr>
    <w:tblStylePr xmlns:w="http://schemas.openxmlformats.org/wordprocessingml/2006/main" w:type="firstCol">
      <w:rPr>
        <w:b/>
        <w:bCs/>
      </w:rPr>
    </w:tblStylePr>
    <w:tblStylePr xmlns:w="http://schemas.openxmlformats.org/wordprocessingml/2006/main" w:type="lastCol">
      <w:rPr>
        <w:b/>
        <w:bCs/>
      </w:rPr>
    </w:tblStylePr>
    <w:tblStylePr xmlns:w="http://schemas.openxmlformats.org/wordprocessingml/2006/main" w:type="band1Vert">
      <w:tblPr/>
      <w:tcPr>
        <w:tcBorders>
          <w:left w:val="single" w:color="7F7F7F" w:themeColor="text1" w:themeTint="80" w:sz="4" w:space="0"/>
          <w:right w:val="single" w:color="7F7F7F" w:themeColor="text1" w:themeTint="80" w:sz="4" w:space="0"/>
        </w:tcBorders>
      </w:tcPr>
    </w:tblStylePr>
    <w:tblStylePr xmlns:w="http://schemas.openxmlformats.org/wordprocessingml/2006/main" w:type="band2Vert">
      <w:tblPr/>
      <w:tcPr>
        <w:tcBorders>
          <w:left w:val="single" w:color="7F7F7F" w:themeColor="text1" w:themeTint="80" w:sz="4" w:space="0"/>
          <w:right w:val="single" w:color="7F7F7F" w:themeColor="text1" w:themeTint="80" w:sz="4" w:space="0"/>
        </w:tcBorders>
      </w:tcPr>
    </w:tblStylePr>
    <w:tblStylePr xmlns:w="http://schemas.openxmlformats.org/wordprocessingml/2006/main" w:type="band1Horz">
      <w:tblPr/>
      <w:tcPr>
        <w:tcBorders>
          <w:top w:val="single" w:color="7F7F7F" w:themeColor="text1" w:themeTint="80" w:sz="4" w:space="0"/>
          <w:bottom w:val="single" w:color="7F7F7F" w:themeColor="text1" w:themeTint="80" w:sz="4" w:space="0"/>
        </w:tcBorders>
      </w:tcPr>
    </w:tblStylePr>
  </w:style>
  <w:style w:type="paragraph" w:styleId="Header">
    <w:uiPriority w:val="99"/>
    <w:name w:val="header"/>
    <w:basedOn w:val="Normal"/>
    <w:unhideWhenUsed/>
    <w:rsid w:val="462615B9"/>
    <w:pPr>
      <w:tabs>
        <w:tab w:val="center" w:leader="none" w:pos="4680"/>
        <w:tab w:val="right" w:leader="none" w:pos="9360"/>
      </w:tabs>
      <w:spacing w:after="0" w:line="240" w:lineRule="auto"/>
    </w:pPr>
  </w:style>
  <w:style w:type="paragraph" w:styleId="Footer">
    <w:uiPriority w:val="99"/>
    <w:name w:val="footer"/>
    <w:basedOn w:val="Normal"/>
    <w:unhideWhenUsed/>
    <w:rsid w:val="462615B9"/>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image" Target="media/image1.png"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header" Target="header.xml" Id="R0ea53d3dc54f4d3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Julian Crump</lastModifiedBy>
  <revision>3</revision>
  <dcterms:created xsi:type="dcterms:W3CDTF">2026-07-29T12:19:00.0000000Z</dcterms:created>
  <dcterms:modified xsi:type="dcterms:W3CDTF">2026-07-29T14:13:50.7979544Z</dcterms:modified>
</coreProperties>
</file>