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D51DA9" w:rsidRDefault="00000000" w14:paraId="33886A65" w14:textId="77777777">
      <w:pPr>
        <w:spacing w:after="40"/>
      </w:pPr>
      <w:r>
        <w:rPr>
          <w:b/>
          <w:color w:val="1F3B57"/>
          <w:sz w:val="44"/>
        </w:rPr>
        <w:t>INVENTION DISCLOSURE FORM</w:t>
      </w:r>
    </w:p>
    <w:p w:rsidR="00D51DA9" w:rsidRDefault="00000000" w14:paraId="13667F0F" w14:textId="77777777">
      <w:pPr>
        <w:spacing w:after="320"/>
      </w:pPr>
      <w:r>
        <w:rPr>
          <w:i/>
          <w:color w:val="707070"/>
          <w:sz w:val="25"/>
        </w:rPr>
        <w:t>GPR119 Agonist Series — Thiazole-Piperidine Carboxamides</w:t>
      </w:r>
    </w:p>
    <w:p w:rsidR="00D51DA9" w:rsidRDefault="00D51DA9" w14:paraId="5E25182C" w14:textId="77777777">
      <w:pPr>
        <w:pBdr>
          <w:bottom w:val="single" w:color="1F3B57" w:sz="10" w:space="1"/>
        </w:pBd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ayout w:type="fixed"/>
        <w:tblLook w:val="04A0" w:firstRow="1" w:lastRow="0" w:firstColumn="1" w:lastColumn="0" w:noHBand="0" w:noVBand="1"/>
      </w:tblPr>
      <w:tblGrid>
        <w:gridCol w:w="4658"/>
        <w:gridCol w:w="4658"/>
      </w:tblGrid>
      <w:tr w:rsidR="00D51DA9" w:rsidTr="62371FA9" w14:paraId="37503750" w14:textId="77777777">
        <w:trPr>
          <w:cantSplit/>
        </w:trPr>
        <w:tc>
          <w:tcPr>
            <w:tcW w:w="4658" w:type="dxa"/>
            <w:shd w:val="clear" w:color="auto" w:fill="F4F5F6"/>
            <w:tcMar>
              <w:top w:w="120" w:type="dxa"/>
              <w:left w:w="160" w:type="dxa"/>
              <w:bottom w:w="120" w:type="dxa"/>
              <w:right w:w="160" w:type="dxa"/>
            </w:tcMar>
          </w:tcPr>
          <w:p w:rsidR="00D51DA9" w:rsidRDefault="00000000" w14:paraId="501D32E4" w14:textId="77777777">
            <w:r>
              <w:rPr>
                <w:b/>
                <w:color w:val="1F3B57"/>
                <w:sz w:val="18"/>
              </w:rPr>
              <w:t>PROJECT TITLE</w:t>
            </w:r>
          </w:p>
        </w:tc>
        <w:tc>
          <w:tcPr>
            <w:tcW w:w="4658" w:type="dxa"/>
            <w:tcMar>
              <w:top w:w="120" w:type="dxa"/>
              <w:left w:w="160" w:type="dxa"/>
              <w:bottom w:w="120" w:type="dxa"/>
              <w:right w:w="160" w:type="dxa"/>
            </w:tcMar>
          </w:tcPr>
          <w:p w:rsidR="00D51DA9" w:rsidRDefault="00000000" w14:paraId="0B3625AE" w14:textId="77777777">
            <w:r>
              <w:rPr>
                <w:color w:val="222222"/>
              </w:rPr>
              <w:t>GPR119 Agonist Series — Thiazole-Piperidine Carboxamides</w:t>
            </w:r>
          </w:p>
        </w:tc>
      </w:tr>
      <w:tr w:rsidR="00D51DA9" w:rsidTr="62371FA9" w14:paraId="18D9CD20" w14:textId="77777777">
        <w:trPr>
          <w:cantSplit/>
        </w:trPr>
        <w:tc>
          <w:tcPr>
            <w:tcW w:w="4658" w:type="dxa"/>
            <w:shd w:val="clear" w:color="auto" w:fill="F4F5F6"/>
            <w:tcMar>
              <w:top w:w="120" w:type="dxa"/>
              <w:left w:w="160" w:type="dxa"/>
              <w:bottom w:w="120" w:type="dxa"/>
              <w:right w:w="160" w:type="dxa"/>
            </w:tcMar>
          </w:tcPr>
          <w:p w:rsidR="00D51DA9" w:rsidRDefault="00000000" w14:paraId="1B66CD42" w14:textId="77777777">
            <w:r>
              <w:rPr>
                <w:b/>
                <w:color w:val="1F3B57"/>
                <w:sz w:val="18"/>
              </w:rPr>
              <w:t>INVENTORS</w:t>
            </w:r>
          </w:p>
        </w:tc>
        <w:tc>
          <w:tcPr>
            <w:tcW w:w="4658" w:type="dxa"/>
            <w:tcMar>
              <w:top w:w="120" w:type="dxa"/>
              <w:left w:w="160" w:type="dxa"/>
              <w:bottom w:w="120" w:type="dxa"/>
              <w:right w:w="160" w:type="dxa"/>
            </w:tcMar>
          </w:tcPr>
          <w:p w:rsidR="00D51DA9" w:rsidRDefault="00000000" w14:paraId="51DD249B" w14:textId="77777777">
            <w:pPr>
              <w:spacing w:after="20"/>
            </w:pPr>
            <w:r>
              <w:rPr>
                <w:color w:val="222222"/>
              </w:rPr>
              <w:t>Dr. Michael Cane</w:t>
            </w:r>
            <w:r>
              <w:rPr>
                <w:i/>
                <w:color w:val="707070"/>
                <w:sz w:val="19"/>
              </w:rPr>
              <w:t xml:space="preserve">   —   </w:t>
            </w:r>
            <w:proofErr w:type="spellStart"/>
            <w:r>
              <w:rPr>
                <w:i/>
                <w:color w:val="707070"/>
                <w:sz w:val="19"/>
              </w:rPr>
              <w:t>FICPhI</w:t>
            </w:r>
            <w:proofErr w:type="spellEnd"/>
            <w:r>
              <w:rPr>
                <w:i/>
                <w:color w:val="707070"/>
                <w:sz w:val="19"/>
              </w:rPr>
              <w:t xml:space="preserve"> Therapeutics AG</w:t>
            </w:r>
          </w:p>
          <w:p w:rsidR="00D51DA9" w:rsidRDefault="00000000" w14:paraId="2BD24106" w14:textId="77777777">
            <w:pPr>
              <w:spacing w:after="20"/>
            </w:pPr>
            <w:r>
              <w:rPr>
                <w:color w:val="222222"/>
              </w:rPr>
              <w:t>Prof. Elia Sucrañez</w:t>
            </w:r>
            <w:r>
              <w:rPr>
                <w:i/>
                <w:color w:val="707070"/>
                <w:sz w:val="19"/>
              </w:rPr>
              <w:t xml:space="preserve">   —   </w:t>
            </w:r>
            <w:proofErr w:type="spellStart"/>
            <w:r>
              <w:rPr>
                <w:i/>
                <w:color w:val="707070"/>
                <w:sz w:val="19"/>
              </w:rPr>
              <w:t>FICPhI</w:t>
            </w:r>
            <w:proofErr w:type="spellEnd"/>
            <w:r>
              <w:rPr>
                <w:i/>
                <w:color w:val="707070"/>
                <w:sz w:val="19"/>
              </w:rPr>
              <w:t xml:space="preserve"> Therapeutics AG</w:t>
            </w:r>
          </w:p>
          <w:p w:rsidRPr="008E26F9" w:rsidR="00D51DA9" w:rsidRDefault="00000000" w14:paraId="3C15608A" w14:textId="77777777">
            <w:pPr>
              <w:spacing w:after="20"/>
              <w:rPr>
                <w:lang w:val="de-CH"/>
              </w:rPr>
            </w:pPr>
            <w:r w:rsidRPr="008E26F9">
              <w:rPr>
                <w:color w:val="222222"/>
                <w:lang w:val="de-CH"/>
              </w:rPr>
              <w:t xml:space="preserve">Dr. Uwe </w:t>
            </w:r>
            <w:r>
              <w:rPr>
                <w:color w:val="222222"/>
              </w:rPr>
              <w:t>β</w:t>
            </w:r>
            <w:r w:rsidRPr="008E26F9">
              <w:rPr>
                <w:color w:val="222222"/>
                <w:lang w:val="de-CH"/>
              </w:rPr>
              <w:t>orchert</w:t>
            </w:r>
            <w:r w:rsidRPr="008E26F9">
              <w:rPr>
                <w:i/>
                <w:color w:val="707070"/>
                <w:sz w:val="19"/>
                <w:lang w:val="de-CH"/>
              </w:rPr>
              <w:t xml:space="preserve">   —   FICPhI Therapeutics AG</w:t>
            </w:r>
          </w:p>
          <w:p w:rsidR="00D51DA9" w:rsidRDefault="00000000" w14:paraId="1B25746A" w14:textId="77777777">
            <w:pPr>
              <w:spacing w:after="20"/>
            </w:pPr>
            <w:r>
              <w:rPr>
                <w:color w:val="222222"/>
              </w:rPr>
              <w:t>Dr. Sharon Cane-</w:t>
            </w:r>
            <w:proofErr w:type="spellStart"/>
            <w:r>
              <w:rPr>
                <w:color w:val="222222"/>
              </w:rPr>
              <w:t>Phillin</w:t>
            </w:r>
            <w:proofErr w:type="spellEnd"/>
            <w:r>
              <w:rPr>
                <w:i/>
                <w:color w:val="707070"/>
                <w:sz w:val="19"/>
              </w:rPr>
              <w:t xml:space="preserve">   —   </w:t>
            </w:r>
            <w:proofErr w:type="spellStart"/>
            <w:r>
              <w:rPr>
                <w:i/>
                <w:color w:val="707070"/>
                <w:sz w:val="19"/>
              </w:rPr>
              <w:t>FICPhI</w:t>
            </w:r>
            <w:proofErr w:type="spellEnd"/>
            <w:r>
              <w:rPr>
                <w:i/>
                <w:color w:val="707070"/>
                <w:sz w:val="19"/>
              </w:rPr>
              <w:t xml:space="preserve"> Therapeutics AG</w:t>
            </w:r>
          </w:p>
          <w:p w:rsidR="00D51DA9" w:rsidRDefault="00000000" w14:paraId="06EFB7AA" w14:textId="77777777">
            <w:pPr>
              <w:spacing w:after="20"/>
            </w:pPr>
            <w:r>
              <w:rPr>
                <w:color w:val="222222"/>
              </w:rPr>
              <w:t>Prof. Syrup Kumar</w:t>
            </w:r>
            <w:r>
              <w:rPr>
                <w:i/>
                <w:color w:val="707070"/>
                <w:sz w:val="19"/>
              </w:rPr>
              <w:t xml:space="preserve">   —   </w:t>
            </w:r>
            <w:proofErr w:type="spellStart"/>
            <w:r>
              <w:rPr>
                <w:i/>
                <w:color w:val="707070"/>
                <w:sz w:val="19"/>
              </w:rPr>
              <w:t>FICPhI</w:t>
            </w:r>
            <w:proofErr w:type="spellEnd"/>
            <w:r>
              <w:rPr>
                <w:i/>
                <w:color w:val="707070"/>
                <w:sz w:val="19"/>
              </w:rPr>
              <w:t xml:space="preserve"> Therapeutics AG</w:t>
            </w:r>
          </w:p>
          <w:p w:rsidR="00D51DA9" w:rsidRDefault="00000000" w14:paraId="3565AE3B" w14:textId="77777777">
            <w:pPr>
              <w:spacing w:after="20"/>
            </w:pPr>
            <w:r>
              <w:rPr>
                <w:color w:val="222222"/>
              </w:rPr>
              <w:t xml:space="preserve">Dr. Louis-Pierre </w:t>
            </w:r>
            <w:proofErr w:type="spellStart"/>
            <w:r>
              <w:rPr>
                <w:color w:val="222222"/>
              </w:rPr>
              <w:t>Gravelycemic</w:t>
            </w:r>
            <w:proofErr w:type="spellEnd"/>
            <w:r>
              <w:rPr>
                <w:i/>
                <w:color w:val="707070"/>
                <w:sz w:val="19"/>
              </w:rPr>
              <w:t xml:space="preserve">   —   </w:t>
            </w:r>
            <w:proofErr w:type="spellStart"/>
            <w:r>
              <w:rPr>
                <w:i/>
                <w:color w:val="707070"/>
                <w:sz w:val="19"/>
              </w:rPr>
              <w:t>FICPhI</w:t>
            </w:r>
            <w:proofErr w:type="spellEnd"/>
            <w:r>
              <w:rPr>
                <w:i/>
                <w:color w:val="707070"/>
                <w:sz w:val="19"/>
              </w:rPr>
              <w:t xml:space="preserve"> Therapeutics AG</w:t>
            </w:r>
          </w:p>
        </w:tc>
      </w:tr>
      <w:tr w:rsidR="00D51DA9" w:rsidTr="62371FA9" w14:paraId="76C61933" w14:textId="77777777">
        <w:trPr>
          <w:cantSplit/>
        </w:trPr>
        <w:tc>
          <w:tcPr>
            <w:tcW w:w="4658" w:type="dxa"/>
            <w:shd w:val="clear" w:color="auto" w:fill="F4F5F6"/>
            <w:tcMar>
              <w:top w:w="120" w:type="dxa"/>
              <w:left w:w="160" w:type="dxa"/>
              <w:bottom w:w="120" w:type="dxa"/>
              <w:right w:w="160" w:type="dxa"/>
            </w:tcMar>
          </w:tcPr>
          <w:p w:rsidR="00D51DA9" w:rsidRDefault="00000000" w14:paraId="769F073C" w14:textId="77777777">
            <w:r>
              <w:rPr>
                <w:b/>
                <w:color w:val="1F3B57"/>
                <w:sz w:val="18"/>
              </w:rPr>
              <w:t>DATE</w:t>
            </w:r>
          </w:p>
        </w:tc>
        <w:tc>
          <w:tcPr>
            <w:tcW w:w="4658" w:type="dxa"/>
            <w:tcMar>
              <w:top w:w="120" w:type="dxa"/>
              <w:left w:w="160" w:type="dxa"/>
              <w:bottom w:w="120" w:type="dxa"/>
              <w:right w:w="160" w:type="dxa"/>
            </w:tcMar>
          </w:tcPr>
          <w:p w:rsidR="00D51DA9" w:rsidRDefault="00000000" w14:paraId="4DE574FE" w14:textId="50642B8F">
            <w:r w:rsidRPr="62371FA9" w:rsidR="62371FA9">
              <w:rPr>
                <w:color w:val="222222"/>
              </w:rPr>
              <w:t>15 September 2026</w:t>
            </w:r>
          </w:p>
        </w:tc>
      </w:tr>
      <w:tr w:rsidR="00D51DA9" w:rsidTr="62371FA9" w14:paraId="26D001FD" w14:textId="77777777">
        <w:trPr>
          <w:cantSplit/>
        </w:trPr>
        <w:tc>
          <w:tcPr>
            <w:tcW w:w="4658" w:type="dxa"/>
            <w:shd w:val="clear" w:color="auto" w:fill="F4F5F6"/>
            <w:tcMar>
              <w:top w:w="120" w:type="dxa"/>
              <w:left w:w="160" w:type="dxa"/>
              <w:bottom w:w="120" w:type="dxa"/>
              <w:right w:w="160" w:type="dxa"/>
            </w:tcMar>
          </w:tcPr>
          <w:p w:rsidR="00D51DA9" w:rsidP="006F18A0" w:rsidRDefault="00000000" w14:paraId="28C1AD12" w14:textId="77777777">
            <w:pPr>
              <w:pStyle w:val="Heading2"/>
            </w:pPr>
            <w:r>
              <w:rPr>
                <w:rFonts w:ascii="Calibri" w:hAnsi="Calibri"/>
                <w:color w:val="1F3B57"/>
                <w:sz w:val="18"/>
              </w:rPr>
              <w:t>EXTERNAL DATA FILES</w:t>
            </w:r>
          </w:p>
        </w:tc>
        <w:tc>
          <w:tcPr>
            <w:tcW w:w="4658" w:type="dxa"/>
            <w:tcMar>
              <w:top w:w="120" w:type="dxa"/>
              <w:left w:w="160" w:type="dxa"/>
              <w:bottom w:w="120" w:type="dxa"/>
              <w:right w:w="160" w:type="dxa"/>
            </w:tcMar>
          </w:tcPr>
          <w:p w:rsidR="00D51DA9" w:rsidP="006F18A0" w:rsidRDefault="00000000" w14:paraId="4917882D" w14:textId="0C71F43C">
            <w:pPr>
              <w:pStyle w:val="Heading2"/>
            </w:pPr>
            <w:r>
              <w:rPr>
                <w:rFonts w:ascii="Calibri" w:hAnsi="Calibri"/>
                <w:b w:val="0"/>
                <w:i/>
                <w:color w:val="222222"/>
                <w:sz w:val="21"/>
              </w:rPr>
              <w:t>FICPI_Compound_Data.xlsx</w:t>
            </w:r>
          </w:p>
        </w:tc>
      </w:tr>
    </w:tbl>
    <w:p w:rsidR="00D51DA9" w:rsidRDefault="00D51DA9" w14:paraId="14E90002" w14:textId="77777777">
      <w:pPr>
        <w:spacing w:after="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17"/>
      </w:tblGrid>
      <w:tr w:rsidR="00D51DA9" w14:paraId="4F1A4167" w14:textId="77777777">
        <w:tc>
          <w:tcPr>
            <w:tcW w:w="9317" w:type="dxa"/>
            <w:shd w:val="clear" w:color="auto" w:fill="E8ECEF"/>
            <w:tcMar>
              <w:top w:w="90" w:type="dxa"/>
              <w:left w:w="160" w:type="dxa"/>
              <w:bottom w:w="90" w:type="dxa"/>
              <w:right w:w="160" w:type="dxa"/>
            </w:tcMar>
          </w:tcPr>
          <w:p w:rsidR="00D51DA9" w:rsidRDefault="00000000" w14:paraId="49B20FF0" w14:textId="1E72286C">
            <w:r>
              <w:rPr>
                <w:b/>
                <w:color w:val="1F3B57"/>
                <w:sz w:val="22"/>
              </w:rPr>
              <w:t xml:space="preserve">1. FIELD </w:t>
            </w:r>
          </w:p>
        </w:tc>
      </w:tr>
      <w:tr w:rsidR="00D51DA9" w14:paraId="592C10A4" w14:textId="77777777">
        <w:tc>
          <w:tcPr>
            <w:tcW w:w="9317" w:type="dxa"/>
            <w:tcMar>
              <w:top w:w="140" w:type="dxa"/>
              <w:left w:w="160" w:type="dxa"/>
              <w:bottom w:w="140" w:type="dxa"/>
              <w:right w:w="160" w:type="dxa"/>
            </w:tcMar>
          </w:tcPr>
          <w:p w:rsidR="00D51DA9" w:rsidRDefault="00000000" w14:paraId="2645A733" w14:textId="77777777">
            <w:pPr>
              <w:spacing w:after="0"/>
            </w:pPr>
            <w:r>
              <w:rPr>
                <w:color w:val="222222"/>
              </w:rPr>
              <w:t>This disclosure relates to thiazole-2-carboxamide compounds bearing a shared 5-(piperidin-4-yl)thiazol-2-yl core, acting as agonists of the GPR119 receptor, for use in the treatment of type 2 diabetes, obesity, and related metabolic conditions.</w:t>
            </w:r>
          </w:p>
        </w:tc>
      </w:tr>
    </w:tbl>
    <w:p w:rsidR="00D51DA9" w:rsidRDefault="00D51DA9" w14:paraId="0A873780" w14:textId="77777777">
      <w:pP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17"/>
      </w:tblGrid>
      <w:tr w:rsidR="00D51DA9" w14:paraId="54761786" w14:textId="77777777">
        <w:tc>
          <w:tcPr>
            <w:tcW w:w="9317" w:type="dxa"/>
            <w:shd w:val="clear" w:color="auto" w:fill="E8ECEF"/>
            <w:tcMar>
              <w:top w:w="90" w:type="dxa"/>
              <w:left w:w="160" w:type="dxa"/>
              <w:bottom w:w="90" w:type="dxa"/>
              <w:right w:w="160" w:type="dxa"/>
            </w:tcMar>
          </w:tcPr>
          <w:p w:rsidR="00D51DA9" w:rsidRDefault="00000000" w14:paraId="0068EDC4" w14:textId="7B41B92D">
            <w:r>
              <w:rPr>
                <w:b/>
                <w:color w:val="1F3B57"/>
                <w:sz w:val="22"/>
              </w:rPr>
              <w:t>2. BACKGROUND</w:t>
            </w:r>
          </w:p>
        </w:tc>
      </w:tr>
      <w:tr w:rsidR="00D51DA9" w14:paraId="3049E847" w14:textId="77777777">
        <w:tc>
          <w:tcPr>
            <w:tcW w:w="9317" w:type="dxa"/>
            <w:tcMar>
              <w:top w:w="140" w:type="dxa"/>
              <w:left w:w="160" w:type="dxa"/>
              <w:bottom w:w="140" w:type="dxa"/>
              <w:right w:w="160" w:type="dxa"/>
            </w:tcMar>
          </w:tcPr>
          <w:p w:rsidR="00D51DA9" w:rsidRDefault="00000000" w14:paraId="01B1184B" w14:textId="77777777">
            <w:pPr>
              <w:spacing w:after="160"/>
            </w:pPr>
            <w:r>
              <w:rPr>
                <w:color w:val="222222"/>
              </w:rPr>
              <w:t>T2D is driven by impaired glucose metabolism from defective insulin secretion and/or insulin resistance, with significant micro- and macrovascular complications downstream. The current drug classes each have a specific problem:</w:t>
            </w:r>
          </w:p>
          <w:p w:rsidR="00D51DA9" w:rsidRDefault="00000000" w14:paraId="01FDA6A1" w14:textId="77777777">
            <w:pPr>
              <w:spacing w:after="80"/>
              <w:ind w:left="317"/>
            </w:pPr>
            <w:r>
              <w:rPr>
                <w:color w:val="222222"/>
              </w:rPr>
              <w:t xml:space="preserve">•  </w:t>
            </w:r>
            <w:r>
              <w:rPr>
                <w:b/>
                <w:color w:val="222222"/>
              </w:rPr>
              <w:t>Sulfonylureas</w:t>
            </w:r>
            <w:r>
              <w:rPr>
                <w:color w:val="222222"/>
              </w:rPr>
              <w:t xml:space="preserve"> (glipizide, tolbutamide, glyburide, glimepiride) push insulin secretion from beta-islet cells regardless of blood glucose level — that's the mechanism, and it's also the source of the </w:t>
            </w:r>
            <w:proofErr w:type="spellStart"/>
            <w:r>
              <w:rPr>
                <w:color w:val="222222"/>
              </w:rPr>
              <w:t>hypoglycaemia</w:t>
            </w:r>
            <w:proofErr w:type="spellEnd"/>
            <w:r>
              <w:rPr>
                <w:color w:val="222222"/>
              </w:rPr>
              <w:t xml:space="preserve"> risk.</w:t>
            </w:r>
          </w:p>
          <w:p w:rsidR="00D51DA9" w:rsidRDefault="00000000" w14:paraId="7AEE1680" w14:textId="77777777">
            <w:pPr>
              <w:spacing w:after="80"/>
              <w:ind w:left="317"/>
            </w:pPr>
            <w:r>
              <w:rPr>
                <w:color w:val="222222"/>
              </w:rPr>
              <w:t xml:space="preserve">•  </w:t>
            </w:r>
            <w:r>
              <w:rPr>
                <w:b/>
                <w:color w:val="222222"/>
              </w:rPr>
              <w:t>TZDs</w:t>
            </w:r>
            <w:r>
              <w:rPr>
                <w:color w:val="222222"/>
              </w:rPr>
              <w:t xml:space="preserve"> (PPAR-gamma agonists) improve insulin action but cause weight gain through fluid retention and increased body fat.</w:t>
            </w:r>
          </w:p>
          <w:p w:rsidR="00D51DA9" w:rsidRDefault="00000000" w14:paraId="1AE21D31" w14:textId="77777777">
            <w:pPr>
              <w:spacing w:after="80"/>
              <w:ind w:left="317"/>
            </w:pPr>
            <w:r>
              <w:rPr>
                <w:color w:val="222222"/>
              </w:rPr>
              <w:t xml:space="preserve">•  Across the board: </w:t>
            </w:r>
            <w:proofErr w:type="spellStart"/>
            <w:r>
              <w:rPr>
                <w:color w:val="222222"/>
              </w:rPr>
              <w:t>hypoglycaemic</w:t>
            </w:r>
            <w:proofErr w:type="spellEnd"/>
            <w:r>
              <w:rPr>
                <w:color w:val="222222"/>
              </w:rPr>
              <w:t xml:space="preserve"> episodes, weight gain, declining response over time, GI side effects, oedema.</w:t>
            </w:r>
          </w:p>
          <w:p w:rsidR="00D51DA9" w:rsidRDefault="00000000" w14:paraId="6F8693D3" w14:textId="77777777">
            <w:pPr>
              <w:spacing w:after="160"/>
              <w:ind w:left="317"/>
            </w:pPr>
            <w:r>
              <w:rPr>
                <w:color w:val="222222"/>
              </w:rPr>
              <w:t xml:space="preserve">•  </w:t>
            </w:r>
            <w:r>
              <w:rPr>
                <w:b/>
                <w:color w:val="222222"/>
              </w:rPr>
              <w:t>Incretin-based drugs</w:t>
            </w:r>
            <w:r>
              <w:rPr>
                <w:color w:val="222222"/>
              </w:rPr>
              <w:t xml:space="preserve"> (GLP-1 agonists like liraglutide; DPP-4 inhibitors like sitagliptin and vildagliptin that protect endogenous GLP-1/GIP) work, but GLP-1 and GIP are degraded fast in vivo — the drugs are compensating for a short half-life, not fixing it.</w:t>
            </w:r>
          </w:p>
          <w:p w:rsidR="00D51DA9" w:rsidRDefault="00000000" w14:paraId="18E1FA3E" w14:textId="77777777">
            <w:pPr>
              <w:spacing w:after="0"/>
            </w:pPr>
            <w:r>
              <w:rPr>
                <w:color w:val="222222"/>
              </w:rPr>
              <w:t xml:space="preserve">GPR119 is essentially pancreas- and gut-restricted (low/undetectable everywhere else), and it stimulates insulin secretion from beta-cells and GLP-1/GIP release from intestinal L-cells in a glucose-dependent way — meaning a GPR119 agonist shouldn't drive fasting glucose down or cause </w:t>
            </w:r>
            <w:proofErr w:type="spellStart"/>
            <w:r>
              <w:rPr>
                <w:color w:val="222222"/>
              </w:rPr>
              <w:t>hypoglycaemia</w:t>
            </w:r>
            <w:proofErr w:type="spellEnd"/>
            <w:r>
              <w:rPr>
                <w:color w:val="222222"/>
              </w:rPr>
              <w:t>, unlike the sulfonylureas. GPR119 has already been validated as a target by earlier tool compounds and third-party work in the field; the gap this project fills is new, potent chemical matter against it.</w:t>
            </w:r>
          </w:p>
        </w:tc>
      </w:tr>
    </w:tbl>
    <w:p w:rsidR="00D51DA9" w:rsidRDefault="00D51DA9" w14:paraId="1E60B7C6" w14:textId="77777777">
      <w:pP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17"/>
      </w:tblGrid>
      <w:tr w:rsidR="00D51DA9" w14:paraId="0EB3CD4D" w14:textId="77777777">
        <w:tc>
          <w:tcPr>
            <w:tcW w:w="9317" w:type="dxa"/>
            <w:shd w:val="clear" w:color="auto" w:fill="E8ECEF"/>
            <w:tcMar>
              <w:top w:w="90" w:type="dxa"/>
              <w:left w:w="160" w:type="dxa"/>
              <w:bottom w:w="90" w:type="dxa"/>
              <w:right w:w="160" w:type="dxa"/>
            </w:tcMar>
          </w:tcPr>
          <w:p w:rsidR="00D51DA9" w:rsidRDefault="00000000" w14:paraId="7F76E172" w14:textId="7E83D6C0">
            <w:r>
              <w:rPr>
                <w:b/>
                <w:color w:val="1F3B57"/>
                <w:sz w:val="22"/>
              </w:rPr>
              <w:t xml:space="preserve">3. </w:t>
            </w:r>
            <w:r w:rsidR="006F18A0">
              <w:rPr>
                <w:b/>
                <w:color w:val="1F3B57"/>
                <w:sz w:val="22"/>
              </w:rPr>
              <w:t>SUMMARY OF THE DISCLOSURE</w:t>
            </w:r>
          </w:p>
        </w:tc>
      </w:tr>
      <w:tr w:rsidR="00D51DA9" w14:paraId="0001CE26" w14:textId="77777777">
        <w:tc>
          <w:tcPr>
            <w:tcW w:w="9317" w:type="dxa"/>
            <w:tcMar>
              <w:top w:w="140" w:type="dxa"/>
              <w:left w:w="160" w:type="dxa"/>
              <w:bottom w:w="140" w:type="dxa"/>
              <w:right w:w="160" w:type="dxa"/>
            </w:tcMar>
          </w:tcPr>
          <w:p w:rsidR="00D51DA9" w:rsidP="00AF2171" w:rsidRDefault="00EC74C2" w14:paraId="47DE32B1" w14:textId="4F1F7134">
            <w:pPr>
              <w:spacing w:after="0"/>
              <w:rPr>
                <w:color w:val="222222"/>
              </w:rPr>
            </w:pPr>
            <w:r>
              <w:rPr>
                <w:color w:val="222222"/>
              </w:rPr>
              <w:t>A series of thiazole-2-carboxamide compounds (Examples 1–19), all built on the core described above, were made and tested in-house as GPR119 agonists. Starting from a single common intermediate — tert-butyl 4-(2-aminothiazol-5-yl)piperidine-1-carboxylate, referred to throughout as [INT-A] — we made 19 analogues by varying (a) the acyl group put onto the thiazole 2-amino nitrogen and (b) the carbamate/substituent on the piperidine nitrogen, then ran all 19 through our GPR119 cAMP functional assay (with GLP1 counter-screen).</w:t>
            </w:r>
          </w:p>
          <w:p w:rsidRPr="00AF2171" w:rsidR="00AF2171" w:rsidP="00AF2171" w:rsidRDefault="00AF2171" w14:paraId="3D88BD7F" w14:textId="77777777">
            <w:pPr>
              <w:spacing w:after="0"/>
              <w:rPr>
                <w:color w:val="222222"/>
              </w:rPr>
            </w:pPr>
          </w:p>
          <w:p w:rsidR="00D51DA9" w:rsidRDefault="00000000" w14:paraId="324B8A4A" w14:textId="77777777">
            <w:pPr>
              <w:spacing w:after="160"/>
            </w:pPr>
            <w:r>
              <w:rPr>
                <w:color w:val="222222"/>
              </w:rPr>
              <w:t>Twelve of the nineteen came in under 0.5 µM EC₅₀ (Class A): Examples 1, 2, 6, 7, 8, 9, 10, 13, 14, 16, 18, 19. (Class A: EC₅₀ &lt; 0.5 µM; Class B: 0.5–5 µM; Class C: &gt; 5 µM — see the companion spreadsheet, FICPI_Compound_Data.xlsx, referenced above, for the full compound-by-compound breakdown.)</w:t>
            </w:r>
          </w:p>
          <w:p w:rsidR="00C57169" w:rsidP="00AF2171" w:rsidRDefault="00C57169" w14:paraId="05CFCA9A" w14:textId="72BF55AA">
            <w:pPr>
              <w:spacing w:after="0"/>
              <w:rPr>
                <w:color w:val="222222"/>
              </w:rPr>
            </w:pPr>
            <w:r w:rsidRPr="00AF2171">
              <w:rPr>
                <w:color w:val="222222"/>
              </w:rPr>
              <w:t>The pattern that jumps out on the phenyl-ring examples: anything with a para-sulfone, para-sulfonamide, or para-sulfonylmethyl group on the benzoyl ring is Class A — Examples 7 (</w:t>
            </w:r>
            <w:proofErr w:type="spellStart"/>
            <w:r w:rsidRPr="00AF2171">
              <w:rPr>
                <w:color w:val="222222"/>
              </w:rPr>
              <w:t>methanesulfonyl</w:t>
            </w:r>
            <w:proofErr w:type="spellEnd"/>
            <w:r w:rsidRPr="00AF2171">
              <w:rPr>
                <w:color w:val="222222"/>
              </w:rPr>
              <w:t>), 9 (2-fluoro-4-methanesulfonyl), 10 (N-methyl, sulfonylmethyl), 14 (sulfonamide), and 19 (same aryl group as 7, isopropyl carbamate instead of tert-butyl). Para-acetamido (Example 6), para-carbamoyl (Example 13), and para-(1,2,4-triazol-1-yl) (Example 18) are also Class A. The 2,4,5-trifluoro compound (Example 8) is Class A too.</w:t>
            </w:r>
          </w:p>
          <w:p w:rsidRPr="00AF2171" w:rsidR="00AF2171" w:rsidP="00AF2171" w:rsidRDefault="00AF2171" w14:paraId="78856551" w14:textId="77777777">
            <w:pPr>
              <w:spacing w:after="0"/>
              <w:rPr>
                <w:color w:val="222222"/>
              </w:rPr>
            </w:pPr>
          </w:p>
          <w:p w:rsidR="00C57169" w:rsidP="00AF2171" w:rsidRDefault="00C57169" w14:paraId="1BB759AD" w14:textId="68DAB2E3">
            <w:pPr>
              <w:spacing w:after="0"/>
              <w:rPr>
                <w:color w:val="222222"/>
              </w:rPr>
            </w:pPr>
            <w:r w:rsidRPr="00AF2171">
              <w:rPr>
                <w:color w:val="222222"/>
              </w:rPr>
              <w:t>On the pyridyl-ring examples, most drop to Class C — Example 11 (6-chloropyridine-3-carbonyl) and Example 12 (pyridine-4-carbonyl) are both Class C — except Example 16 (5-methanesulfonylpyridine-2-carbonyl), which stays Class A. Same story as above: the sulfone is doing the work, not the phenyl-vs-pyridyl choice.</w:t>
            </w:r>
          </w:p>
          <w:p w:rsidRPr="00AF2171" w:rsidR="00AF2171" w:rsidP="00AF2171" w:rsidRDefault="00AF2171" w14:paraId="23FFCAAC" w14:textId="77777777">
            <w:pPr>
              <w:spacing w:after="0"/>
              <w:rPr>
                <w:color w:val="222222"/>
              </w:rPr>
            </w:pPr>
          </w:p>
          <w:p w:rsidR="00D51DA9" w:rsidRDefault="00000000" w14:paraId="67D7AEB5" w14:textId="77777777">
            <w:pPr>
              <w:spacing w:after="160"/>
            </w:pPr>
            <w:r>
              <w:rPr>
                <w:color w:val="222222"/>
              </w:rPr>
              <w:t xml:space="preserve">Nitro substitution correlates with reduced potency: Example 5 (4-chloro-2-nitrobenzoyl) and Example 15 </w:t>
            </w:r>
            <w:r>
              <w:rPr>
                <w:color w:val="222222"/>
              </w:rPr>
              <w:t>(3,4-dinitrobenzoyl) are both Class C. The oxadiazole analogue, Example 17 (5-methyl-1,2,4-oxadiazol-3-yl), is also Class C — worth noting because its close cousin, the triazole analogue Example 18, is Class A despite both being 5-membered heteroaryl substituents at essentially the same position.</w:t>
            </w:r>
          </w:p>
          <w:p w:rsidR="00D51DA9" w:rsidRDefault="00C57169" w14:paraId="585640D3" w14:textId="290D9E69">
            <w:pPr>
              <w:spacing w:after="0"/>
            </w:pPr>
            <w:r w:rsidRPr="00E53A5D">
              <w:rPr>
                <w:color w:val="222222"/>
                <w:lang w:val="en-GB"/>
              </w:rPr>
              <w:t xml:space="preserve">On the piperidine nitrogen side, swapping the tert-butyl carbamate for isopropyl (Example 7 → Example 19) </w:t>
            </w:r>
            <w:r>
              <w:rPr>
                <w:color w:val="222222"/>
                <w:szCs w:val="21"/>
                <w:lang w:val="en-GB" w:eastAsia="en-GB" w:bidi="en-GB"/>
              </w:rPr>
              <w:t>doesn’t</w:t>
            </w:r>
            <w:r w:rsidRPr="00E53A5D">
              <w:rPr>
                <w:color w:val="222222"/>
                <w:lang w:val="en-GB"/>
              </w:rPr>
              <w:t xml:space="preserve"> cost any potency — both Class A.</w:t>
            </w:r>
          </w:p>
        </w:tc>
      </w:tr>
    </w:tbl>
    <w:p w:rsidR="00D51DA9" w:rsidRDefault="00D51DA9" w14:paraId="604E4612" w14:textId="77777777">
      <w:pP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38"/>
      </w:tblGrid>
      <w:tr w:rsidR="00D51DA9" w:rsidTr="2F0582BC" w14:paraId="5F58DE85" w14:textId="77777777">
        <w:tc>
          <w:tcPr>
            <w:tcW w:w="9317" w:type="dxa"/>
            <w:shd w:val="clear" w:color="auto" w:fill="E8ECEF"/>
            <w:tcMar>
              <w:top w:w="90" w:type="dxa"/>
              <w:left w:w="160" w:type="dxa"/>
              <w:bottom w:w="90" w:type="dxa"/>
              <w:right w:w="160" w:type="dxa"/>
            </w:tcMar>
          </w:tcPr>
          <w:p w:rsidR="00D51DA9" w:rsidRDefault="00000000" w14:paraId="35E2F835" w14:textId="77777777">
            <w:r>
              <w:rPr>
                <w:b/>
                <w:color w:val="1F3B57"/>
                <w:sz w:val="22"/>
              </w:rPr>
              <w:t>4. GENERAL SYNTHETIC APPROACH</w:t>
            </w:r>
          </w:p>
        </w:tc>
      </w:tr>
      <w:tr w:rsidR="00D51DA9" w:rsidTr="2F0582BC" w14:paraId="3BA589B2" w14:textId="77777777">
        <w:tc>
          <w:tcPr>
            <w:tcW w:w="9317" w:type="dxa"/>
            <w:tcMar>
              <w:top w:w="140" w:type="dxa"/>
              <w:left w:w="160" w:type="dxa"/>
              <w:bottom w:w="140" w:type="dxa"/>
              <w:right w:w="160" w:type="dxa"/>
            </w:tcMar>
          </w:tcPr>
          <w:p w:rsidR="00D51DA9" w:rsidRDefault="00000000" w14:paraId="72685762" w14:textId="6D813C39">
            <w:pPr>
              <w:spacing w:after="160"/>
            </w:pPr>
            <w:r>
              <w:rPr>
                <w:color w:val="222222"/>
              </w:rPr>
              <w:t>Everything starts from intermediate [</w:t>
            </w:r>
            <w:r w:rsidR="00EC74C2">
              <w:rPr>
                <w:color w:val="222222"/>
              </w:rPr>
              <w:t>INT-A</w:t>
            </w:r>
            <w:r>
              <w:rPr>
                <w:color w:val="222222"/>
              </w:rPr>
              <w:t>] — tert-butyl 4-(2-aminothiazol-5-yl)piperidine-1-carboxylate. Two ways to make it:</w:t>
            </w:r>
          </w:p>
          <w:p w:rsidRPr="00AF2171" w:rsidR="00C57169" w:rsidP="00AF2171" w:rsidRDefault="00C57169" w14:paraId="0E3421B8" w14:textId="0A82E3DC">
            <w:pPr>
              <w:spacing w:after="0"/>
              <w:rPr>
                <w:color w:val="222222"/>
              </w:rPr>
            </w:pPr>
            <w:r w:rsidRPr="00AF2171">
              <w:rPr>
                <w:b/>
                <w:bCs/>
                <w:color w:val="222222"/>
              </w:rPr>
              <w:t>Scheme A (route actually used for [INT-A] in Examples 1–19):</w:t>
            </w:r>
            <w:r w:rsidRPr="00AF2171">
              <w:rPr>
                <w:color w:val="222222"/>
              </w:rPr>
              <w:t xml:space="preserve"> brominate 4-(2-oxoethyl)piperidine-1-carboxylic acid tert-butyl ester with </w:t>
            </w:r>
            <w:proofErr w:type="spellStart"/>
            <w:r w:rsidRPr="00AF2171">
              <w:rPr>
                <w:color w:val="222222"/>
              </w:rPr>
              <w:t>phenyltrimethylammonium</w:t>
            </w:r>
            <w:proofErr w:type="spellEnd"/>
            <w:r w:rsidRPr="00AF2171">
              <w:rPr>
                <w:color w:val="222222"/>
              </w:rPr>
              <w:t xml:space="preserve"> tribromide, then </w:t>
            </w:r>
            <w:proofErr w:type="spellStart"/>
            <w:r w:rsidRPr="00AF2171">
              <w:rPr>
                <w:color w:val="222222"/>
              </w:rPr>
              <w:t>cyclise</w:t>
            </w:r>
            <w:proofErr w:type="spellEnd"/>
            <w:r w:rsidRPr="00AF2171">
              <w:rPr>
                <w:color w:val="222222"/>
              </w:rPr>
              <w:t xml:space="preserve"> the resulting α-</w:t>
            </w:r>
            <w:proofErr w:type="spellStart"/>
            <w:r w:rsidRPr="00AF2171">
              <w:rPr>
                <w:color w:val="222222"/>
              </w:rPr>
              <w:t>bromoaldehyde</w:t>
            </w:r>
            <w:proofErr w:type="spellEnd"/>
            <w:r w:rsidRPr="00AF2171">
              <w:rPr>
                <w:color w:val="222222"/>
              </w:rPr>
              <w:t xml:space="preserve"> with thiourea to close the thiazole ring.</w:t>
            </w:r>
          </w:p>
          <w:p w:rsidR="2F0582BC" w:rsidP="008E26F9" w:rsidRDefault="00C57169" w14:paraId="7BB3F3C5" w14:textId="3E4CC2D5">
            <w:pPr>
              <w:spacing w:after="40"/>
              <w:jc w:val="center"/>
              <w:rPr>
                <w:color w:val="222222"/>
              </w:rPr>
            </w:pPr>
            <w:r>
              <w:object w:dxaOrig="14200" w:dyaOrig="2360" w14:anchorId="18BA4DF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50.75pt;height:75pt" o:ole="" type="#_x0000_t75">
                  <v:imagedata o:title="" r:id="rId8"/>
                </v:shape>
                <o:OLEObject Type="Embed" ProgID="CHEMDOODLEOLE.ChemDoodleEmbeddedObject.1" ShapeID="_x0000_i1025" DrawAspect="Content" ObjectID="_1847009762" r:id="rId9"/>
              </w:object>
            </w:r>
          </w:p>
          <w:p w:rsidR="00D51DA9" w:rsidRDefault="00000000" w14:paraId="1B60C0CE" w14:textId="178C80D9">
            <w:pPr>
              <w:spacing w:after="40"/>
              <w:jc w:val="center"/>
            </w:pPr>
            <w:r>
              <w:rPr>
                <w:b/>
                <w:color w:val="222222"/>
                <w:sz w:val="19"/>
              </w:rPr>
              <w:t xml:space="preserve">Scheme </w:t>
            </w:r>
            <w:r w:rsidR="008E26F9">
              <w:rPr>
                <w:b/>
                <w:color w:val="222222"/>
                <w:sz w:val="19"/>
              </w:rPr>
              <w:t>A</w:t>
            </w:r>
          </w:p>
          <w:p w:rsidRPr="00E53A5D" w:rsidR="00C57169" w:rsidP="00C57169" w:rsidRDefault="00C57169" w14:paraId="30F0F1DD" w14:textId="5A6C2DDC">
            <w:pPr>
              <w:pStyle w:val="p"/>
              <w:spacing w:after="200" w:line="276" w:lineRule="auto"/>
              <w:rPr>
                <w:sz w:val="19"/>
              </w:rPr>
            </w:pPr>
            <w:r w:rsidRPr="00E53A5D">
              <w:rPr>
                <w:i/>
                <w:color w:val="707070"/>
                <w:sz w:val="19"/>
                <w:lang w:val="en-GB"/>
              </w:rPr>
              <w:t>4-(2-oxoethyl)piperidine-1-carboxylic acid tert-butyl ester → (</w:t>
            </w:r>
            <w:proofErr w:type="spellStart"/>
            <w:r w:rsidRPr="00E53A5D">
              <w:rPr>
                <w:i/>
                <w:color w:val="707070"/>
                <w:sz w:val="19"/>
                <w:lang w:val="en-GB"/>
              </w:rPr>
              <w:t>PhN⁺Me₃Br</w:t>
            </w:r>
            <w:proofErr w:type="spellEnd"/>
            <w:r w:rsidRPr="00E53A5D">
              <w:rPr>
                <w:i/>
                <w:color w:val="707070"/>
                <w:sz w:val="19"/>
                <w:lang w:val="en-GB"/>
              </w:rPr>
              <w:t>₃⁻, THF, 0 °C) → α-</w:t>
            </w:r>
            <w:proofErr w:type="spellStart"/>
            <w:r>
              <w:rPr>
                <w:i/>
                <w:iCs/>
                <w:color w:val="707070"/>
                <w:sz w:val="19"/>
                <w:szCs w:val="19"/>
                <w:lang w:val="en-GB" w:eastAsia="en-GB" w:bidi="en-GB"/>
              </w:rPr>
              <w:t>bromoaldehyde</w:t>
            </w:r>
            <w:proofErr w:type="spellEnd"/>
            <w:r w:rsidRPr="00E53A5D">
              <w:rPr>
                <w:i/>
                <w:color w:val="707070"/>
                <w:sz w:val="19"/>
                <w:lang w:val="en-GB"/>
              </w:rPr>
              <w:t xml:space="preserve"> → (thiourea, EtOH, 80 °C) → [INT-A].</w:t>
            </w:r>
          </w:p>
          <w:p w:rsidR="00957B2D" w:rsidP="00957B2D" w:rsidRDefault="00957B2D" w14:paraId="0DC68258" w14:textId="5027A42A">
            <w:pPr>
              <w:spacing w:after="40"/>
            </w:pPr>
            <w:r>
              <w:rPr>
                <w:color w:val="222222"/>
              </w:rPr>
              <w:t xml:space="preserve">An alternative route to [INT-A], not used for Examples 1–19, is shown in </w:t>
            </w:r>
            <w:r w:rsidRPr="002051F2">
              <w:rPr>
                <w:b/>
                <w:bCs/>
                <w:color w:val="222222"/>
              </w:rPr>
              <w:t>Scheme B</w:t>
            </w:r>
            <w:r>
              <w:rPr>
                <w:color w:val="222222"/>
              </w:rPr>
              <w:t>.</w:t>
            </w:r>
          </w:p>
          <w:p w:rsidR="00D51DA9" w:rsidRDefault="00C57169" w14:paraId="7863EC37" w14:textId="6BAF366C">
            <w:pPr>
              <w:spacing w:before="120" w:after="40"/>
              <w:jc w:val="center"/>
            </w:pPr>
            <w:r>
              <w:object w:dxaOrig="7600" w:dyaOrig="6020" w14:anchorId="1618CC36">
                <v:shape id="_x0000_i1026" style="width:284.25pt;height:225.75pt" o:ole="" type="#_x0000_t75">
                  <v:imagedata o:title="" r:id="rId10"/>
                </v:shape>
                <o:OLEObject Type="Embed" ProgID="CHEMDOODLEOLE.ChemDoodleEmbeddedObject.1" ShapeID="_x0000_i1026" DrawAspect="Content" ObjectID="_1847009763" r:id="rId11"/>
              </w:object>
            </w:r>
          </w:p>
          <w:p w:rsidR="00D51DA9" w:rsidRDefault="00000000" w14:paraId="2C6A014D" w14:textId="64293D40">
            <w:pPr>
              <w:spacing w:after="40"/>
              <w:jc w:val="center"/>
            </w:pPr>
            <w:r>
              <w:rPr>
                <w:b/>
                <w:color w:val="222222"/>
                <w:sz w:val="19"/>
              </w:rPr>
              <w:t xml:space="preserve">Scheme </w:t>
            </w:r>
            <w:r w:rsidR="00BE2BAD">
              <w:rPr>
                <w:b/>
                <w:color w:val="222222"/>
                <w:sz w:val="19"/>
              </w:rPr>
              <w:t>B</w:t>
            </w:r>
          </w:p>
          <w:p w:rsidRPr="00E53A5D" w:rsidR="00C57169" w:rsidP="00C57169" w:rsidRDefault="00C57169" w14:paraId="5C33E247" w14:textId="032840F2">
            <w:pPr>
              <w:pStyle w:val="p"/>
              <w:spacing w:after="200" w:line="276" w:lineRule="auto"/>
              <w:rPr>
                <w:sz w:val="19"/>
              </w:rPr>
            </w:pPr>
            <w:r w:rsidRPr="00E53A5D">
              <w:rPr>
                <w:i/>
                <w:color w:val="707070"/>
                <w:sz w:val="19"/>
                <w:lang w:val="en-GB"/>
              </w:rPr>
              <w:t xml:space="preserve">2-amino-5-bromothiazole + Boc-tetrahydropyridin-4-yl </w:t>
            </w:r>
            <w:r>
              <w:rPr>
                <w:i/>
                <w:iCs/>
                <w:color w:val="707070"/>
                <w:sz w:val="19"/>
                <w:szCs w:val="19"/>
                <w:lang w:val="en-GB" w:eastAsia="en-GB" w:bidi="en-GB"/>
              </w:rPr>
              <w:t xml:space="preserve">pinacol </w:t>
            </w:r>
            <w:proofErr w:type="spellStart"/>
            <w:r>
              <w:rPr>
                <w:i/>
                <w:iCs/>
                <w:color w:val="707070"/>
                <w:sz w:val="19"/>
                <w:szCs w:val="19"/>
                <w:lang w:val="en-GB" w:eastAsia="en-GB" w:bidi="en-GB"/>
              </w:rPr>
              <w:t>boronate</w:t>
            </w:r>
            <w:proofErr w:type="spellEnd"/>
            <w:r>
              <w:rPr>
                <w:i/>
                <w:iCs/>
                <w:color w:val="707070"/>
                <w:sz w:val="19"/>
                <w:szCs w:val="19"/>
                <w:lang w:val="en-GB" w:eastAsia="en-GB" w:bidi="en-GB"/>
              </w:rPr>
              <w:t xml:space="preserve"> ester</w:t>
            </w:r>
            <w:r w:rsidRPr="00E53A5D">
              <w:rPr>
                <w:i/>
                <w:color w:val="707070"/>
                <w:sz w:val="19"/>
                <w:lang w:val="en-GB"/>
              </w:rPr>
              <w:t xml:space="preserve"> → (cross-coupling) → unsaturated Boc-</w:t>
            </w:r>
            <w:proofErr w:type="spellStart"/>
            <w:r w:rsidRPr="00E53A5D">
              <w:rPr>
                <w:i/>
                <w:color w:val="707070"/>
                <w:sz w:val="19"/>
                <w:lang w:val="en-GB"/>
              </w:rPr>
              <w:t>tetrahydropyridinyl</w:t>
            </w:r>
            <w:proofErr w:type="spellEnd"/>
            <w:r w:rsidRPr="00E53A5D">
              <w:rPr>
                <w:i/>
                <w:color w:val="707070"/>
                <w:sz w:val="19"/>
                <w:lang w:val="en-GB"/>
              </w:rPr>
              <w:t>-thiazole → (H₂/Pd) → [INT-A] — same end point as Scheme A, different starting materials.</w:t>
            </w:r>
          </w:p>
          <w:p w:rsidR="00D51DA9" w:rsidRDefault="00000000" w14:paraId="72F0FA63" w14:textId="1023158E">
            <w:pPr>
              <w:spacing w:after="160"/>
            </w:pPr>
            <w:r>
              <w:rPr>
                <w:color w:val="222222"/>
              </w:rPr>
              <w:t>From [</w:t>
            </w:r>
            <w:r w:rsidR="00EC74C2">
              <w:rPr>
                <w:color w:val="222222"/>
              </w:rPr>
              <w:t>INT-A</w:t>
            </w:r>
            <w:r>
              <w:rPr>
                <w:color w:val="222222"/>
              </w:rPr>
              <w:t xml:space="preserve">], </w:t>
            </w:r>
            <w:r w:rsidR="0082098B">
              <w:rPr>
                <w:color w:val="222222"/>
              </w:rPr>
              <w:t>three</w:t>
            </w:r>
            <w:r>
              <w:rPr>
                <w:color w:val="222222"/>
              </w:rPr>
              <w:t xml:space="preserve"> further operations:</w:t>
            </w:r>
          </w:p>
          <w:p w:rsidRPr="00AF2171" w:rsidR="00C57169" w:rsidP="00AF2171" w:rsidRDefault="00C57169" w14:paraId="09FEA101" w14:textId="3A50263B">
            <w:pPr>
              <w:spacing w:after="160"/>
              <w:rPr>
                <w:color w:val="222222"/>
              </w:rPr>
            </w:pPr>
            <w:r w:rsidRPr="00AF2171">
              <w:rPr>
                <w:b/>
                <w:bCs/>
                <w:color w:val="222222"/>
              </w:rPr>
              <w:t>Amide coupling onto the thiazole 2-amino group.</w:t>
            </w:r>
            <w:r w:rsidRPr="00AF2171">
              <w:rPr>
                <w:color w:val="222222"/>
              </w:rPr>
              <w:t xml:space="preserve"> The free amine on [INT-A] is acylated with the relevant carboxylic acid — either via a mixed anhydride (isobutyl chloroformate/N-</w:t>
            </w:r>
            <w:proofErr w:type="spellStart"/>
            <w:r w:rsidRPr="00AF2171">
              <w:rPr>
                <w:color w:val="222222"/>
              </w:rPr>
              <w:t>methylmorpholine</w:t>
            </w:r>
            <w:proofErr w:type="spellEnd"/>
            <w:r w:rsidRPr="00AF2171">
              <w:rPr>
                <w:color w:val="222222"/>
              </w:rPr>
              <w:t>, as used for Examples 1–18 and for the Example 7 precursor of Example 19), or via DCC/HOBT coupling from the free acid, or from an acid chloride/active ester where more convenient. The carboxylic acids themselves are either bought in or made by nitrile/ester/amide hydrolysis, Pd-catalysed carbonylative coupling of an aryl halide (e.g. Pd(</w:t>
            </w:r>
            <w:proofErr w:type="spellStart"/>
            <w:r w:rsidRPr="00AF2171">
              <w:rPr>
                <w:color w:val="222222"/>
              </w:rPr>
              <w:t>OAc</w:t>
            </w:r>
            <w:proofErr w:type="spellEnd"/>
            <w:r w:rsidRPr="00AF2171">
              <w:rPr>
                <w:color w:val="222222"/>
              </w:rPr>
              <w:t>)₂/1,3-bis(</w:t>
            </w:r>
            <w:proofErr w:type="spellStart"/>
            <w:r w:rsidRPr="00AF2171">
              <w:rPr>
                <w:color w:val="222222"/>
              </w:rPr>
              <w:t>diphenylphosphino</w:t>
            </w:r>
            <w:proofErr w:type="spellEnd"/>
            <w:r w:rsidRPr="00AF2171">
              <w:rPr>
                <w:color w:val="222222"/>
              </w:rPr>
              <w:t>)propane under CO), or lithiation/CO₂ quench.</w:t>
            </w:r>
          </w:p>
          <w:p w:rsidR="00D51DA9" w:rsidRDefault="00C57169" w14:paraId="41926433" w14:textId="551993F6">
            <w:pPr>
              <w:spacing w:before="120" w:after="40"/>
              <w:jc w:val="center"/>
            </w:pPr>
            <w:r>
              <w:object w:dxaOrig="10560" w:dyaOrig="2940" w14:anchorId="4A91C403">
                <v:shape id="_x0000_i1027" style="width:393pt;height:109.5pt" o:ole="" type="#_x0000_t75">
                  <v:imagedata o:title="" r:id="rId12"/>
                </v:shape>
                <o:OLEObject Type="Embed" ProgID="CHEMDOODLEOLE.ChemDoodleEmbeddedObject.1" ShapeID="_x0000_i1027" DrawAspect="Content" ObjectID="_1847009764" r:id="rId13"/>
              </w:object>
            </w:r>
          </w:p>
          <w:p w:rsidR="00D51DA9" w:rsidRDefault="00000000" w14:paraId="281ACA80" w14:textId="4BB7B507">
            <w:pPr>
              <w:spacing w:after="40"/>
              <w:jc w:val="center"/>
            </w:pPr>
            <w:r>
              <w:rPr>
                <w:b/>
                <w:color w:val="222222"/>
                <w:sz w:val="19"/>
              </w:rPr>
              <w:t xml:space="preserve">Scheme </w:t>
            </w:r>
            <w:r w:rsidR="00BE2BAD">
              <w:rPr>
                <w:b/>
                <w:color w:val="222222"/>
                <w:sz w:val="19"/>
              </w:rPr>
              <w:t>C</w:t>
            </w:r>
            <w:r>
              <w:rPr>
                <w:b/>
                <w:color w:val="222222"/>
                <w:sz w:val="19"/>
              </w:rPr>
              <w:t xml:space="preserve"> — amide bond formation</w:t>
            </w:r>
          </w:p>
          <w:p w:rsidR="00D51DA9" w:rsidRDefault="0082098B" w14:paraId="26D75F67" w14:textId="402928EE">
            <w:r w:rsidRPr="0082098B">
              <w:rPr>
                <w:i/>
                <w:color w:val="707070"/>
                <w:sz w:val="19"/>
              </w:rPr>
              <w:t>Boc-piperidinyl-2-(R</w:t>
            </w:r>
            <w:r w:rsidRPr="0082098B">
              <w:rPr>
                <w:i/>
                <w:color w:val="707070"/>
                <w:sz w:val="19"/>
                <w:vertAlign w:val="superscript"/>
              </w:rPr>
              <w:t>1</w:t>
            </w:r>
            <w:r w:rsidRPr="0082098B">
              <w:rPr>
                <w:i/>
                <w:color w:val="707070"/>
                <w:sz w:val="19"/>
              </w:rPr>
              <w:t>-amino)thiazole ([INT-A] where R</w:t>
            </w:r>
            <w:r w:rsidRPr="0082098B">
              <w:rPr>
                <w:i/>
                <w:color w:val="707070"/>
                <w:sz w:val="19"/>
                <w:vertAlign w:val="superscript"/>
              </w:rPr>
              <w:t>1</w:t>
            </w:r>
            <w:r w:rsidRPr="0082098B">
              <w:rPr>
                <w:i/>
                <w:color w:val="707070"/>
                <w:sz w:val="19"/>
              </w:rPr>
              <w:t> = H) + activated carboxylic acid (Y = OH, Cl, or active ester) → thiazole-2-carboxamide of general formula (I)</w:t>
            </w:r>
            <w:r>
              <w:rPr>
                <w:i/>
                <w:color w:val="707070"/>
                <w:sz w:val="19"/>
              </w:rPr>
              <w:t>. Y = OH couplings go via DCC/HOBT; Y = Cl (acid chloride) or a mixed anhydride couple directly.</w:t>
            </w:r>
          </w:p>
          <w:p w:rsidRPr="00C57169" w:rsidR="00C57169" w:rsidP="00C57169" w:rsidRDefault="00C57169" w14:paraId="6562DF9B" w14:textId="3B13DB78">
            <w:pPr>
              <w:pStyle w:val="p"/>
              <w:spacing w:after="160" w:line="276" w:lineRule="auto"/>
              <w:rPr>
                <w:rFonts w:asciiTheme="majorHAnsi" w:hAnsiTheme="majorHAnsi" w:cstheme="majorHAnsi"/>
                <w:b/>
                <w:color w:val="222222"/>
              </w:rPr>
            </w:pPr>
            <w:r w:rsidRPr="00C57169">
              <w:rPr>
                <w:rFonts w:asciiTheme="majorHAnsi" w:hAnsiTheme="majorHAnsi" w:cstheme="majorHAnsi"/>
                <w:b/>
                <w:bCs/>
                <w:color w:val="222222"/>
                <w:sz w:val="21"/>
                <w:szCs w:val="21"/>
                <w:lang w:val="en-GB" w:eastAsia="en-GB" w:bidi="en-GB"/>
              </w:rPr>
              <w:t>N-Methylation.</w:t>
            </w:r>
            <w:r w:rsidRPr="00C57169">
              <w:rPr>
                <w:rFonts w:asciiTheme="majorHAnsi" w:hAnsiTheme="majorHAnsi" w:cstheme="majorHAnsi"/>
                <w:color w:val="222222"/>
                <w:sz w:val="21"/>
                <w:szCs w:val="21"/>
                <w:lang w:val="en-GB" w:eastAsia="en-GB" w:bidi="en-GB"/>
              </w:rPr>
              <w:t xml:space="preserve"> Where the amide nitrogen bears a methyl group (Example 10), the N-methyl compound was </w:t>
            </w:r>
            <w:r w:rsidRPr="00EB5325" w:rsidR="00EB5325">
              <w:rPr>
                <w:rFonts w:asciiTheme="majorHAnsi" w:hAnsiTheme="majorHAnsi" w:cstheme="majorHAnsi"/>
                <w:color w:val="222222"/>
                <w:sz w:val="21"/>
                <w:szCs w:val="21"/>
                <w:lang w:val="en-GB" w:eastAsia="en-GB" w:bidi="en-GB"/>
              </w:rPr>
              <w:t>obtained by treating the corresponding secondary amide (from the amide coupling above) with sodium hydride in DMF at 0 °C to RT, followed by methyl iodide. The Boc group is retained, and since the piperidine nitrogen is a fully substituted carbamate with no N–H, alkylation occurs selectively on the amide nitrogen</w:t>
            </w:r>
            <w:r w:rsidRPr="00C57169">
              <w:rPr>
                <w:rFonts w:asciiTheme="majorHAnsi" w:hAnsiTheme="majorHAnsi" w:cstheme="majorHAnsi"/>
                <w:color w:val="222222"/>
                <w:sz w:val="21"/>
                <w:szCs w:val="21"/>
                <w:lang w:val="en-GB" w:eastAsia="en-GB" w:bidi="en-GB"/>
              </w:rPr>
              <w:t>.</w:t>
            </w:r>
          </w:p>
          <w:p w:rsidR="00D51DA9" w:rsidRDefault="00000000" w14:paraId="2F73B029" w14:textId="6578C678">
            <w:pPr>
              <w:spacing w:after="160"/>
              <w:rPr>
                <w:color w:val="222222"/>
              </w:rPr>
            </w:pPr>
            <w:r>
              <w:rPr>
                <w:b/>
                <w:color w:val="222222"/>
              </w:rPr>
              <w:t>Swapping the piperidine nitrogen substituent.</w:t>
            </w:r>
            <w:r>
              <w:rPr>
                <w:color w:val="222222"/>
              </w:rPr>
              <w:t xml:space="preserve"> Once the Boc group is off (giving the free piperidine NH), the nitrogen can be taken to a carbamate (alkyl chloroformate or </w:t>
            </w:r>
            <w:proofErr w:type="spellStart"/>
            <w:r>
              <w:rPr>
                <w:color w:val="222222"/>
              </w:rPr>
              <w:t>dialkyl</w:t>
            </w:r>
            <w:proofErr w:type="spellEnd"/>
            <w:r>
              <w:rPr>
                <w:color w:val="222222"/>
              </w:rPr>
              <w:t xml:space="preserve"> </w:t>
            </w:r>
            <w:proofErr w:type="spellStart"/>
            <w:r>
              <w:rPr>
                <w:color w:val="222222"/>
              </w:rPr>
              <w:t>dicarbonate</w:t>
            </w:r>
            <w:proofErr w:type="spellEnd"/>
            <w:r>
              <w:rPr>
                <w:color w:val="222222"/>
              </w:rPr>
              <w:t xml:space="preserve">, base = </w:t>
            </w:r>
            <w:proofErr w:type="spellStart"/>
            <w:r>
              <w:rPr>
                <w:color w:val="222222"/>
              </w:rPr>
              <w:t>Et₃N</w:t>
            </w:r>
            <w:proofErr w:type="spellEnd"/>
            <w:r>
              <w:rPr>
                <w:color w:val="222222"/>
              </w:rPr>
              <w:t xml:space="preserve"> or </w:t>
            </w:r>
            <w:proofErr w:type="spellStart"/>
            <w:r>
              <w:rPr>
                <w:color w:val="222222"/>
              </w:rPr>
              <w:t>Cs₂CO</w:t>
            </w:r>
            <w:proofErr w:type="spellEnd"/>
            <w:r>
              <w:rPr>
                <w:color w:val="222222"/>
              </w:rPr>
              <w:t>₃, in THF/</w:t>
            </w:r>
            <w:proofErr w:type="spellStart"/>
            <w:r>
              <w:rPr>
                <w:color w:val="222222"/>
              </w:rPr>
              <w:t>MeCN</w:t>
            </w:r>
            <w:proofErr w:type="spellEnd"/>
            <w:r>
              <w:rPr>
                <w:color w:val="222222"/>
              </w:rPr>
              <w:t>/DCM — this is how Example 19 was made from Example 7), an amide (carboxylic acid via DCC/HOBT, or two-step via phosgene/</w:t>
            </w:r>
            <w:proofErr w:type="spellStart"/>
            <w:r>
              <w:rPr>
                <w:color w:val="222222"/>
              </w:rPr>
              <w:t>triphosgene</w:t>
            </w:r>
            <w:proofErr w:type="spellEnd"/>
            <w:r>
              <w:rPr>
                <w:color w:val="222222"/>
              </w:rPr>
              <w:t>/CDI then amine, or direct reaction with an alkyl isocyanate), a sulfonamide (</w:t>
            </w:r>
            <w:proofErr w:type="spellStart"/>
            <w:r>
              <w:rPr>
                <w:color w:val="222222"/>
              </w:rPr>
              <w:t>alkylsulfonyl</w:t>
            </w:r>
            <w:proofErr w:type="spellEnd"/>
            <w:r>
              <w:rPr>
                <w:color w:val="222222"/>
              </w:rPr>
              <w:t xml:space="preserve"> chloride, or two-step sulfonyl chloride then amine), or coupled onto an activated 5-membered heteroaryl electrophile (halide or </w:t>
            </w:r>
            <w:proofErr w:type="spellStart"/>
            <w:r>
              <w:rPr>
                <w:color w:val="222222"/>
              </w:rPr>
              <w:t>SMe</w:t>
            </w:r>
            <w:proofErr w:type="spellEnd"/>
            <w:r>
              <w:rPr>
                <w:color w:val="222222"/>
              </w:rPr>
              <w:t xml:space="preserve"> leaving group, base, polar aprotic solvent, </w:t>
            </w:r>
            <w:proofErr w:type="spellStart"/>
            <w:r>
              <w:rPr>
                <w:color w:val="222222"/>
              </w:rPr>
              <w:t>CuI</w:t>
            </w:r>
            <w:proofErr w:type="spellEnd"/>
            <w:r>
              <w:rPr>
                <w:color w:val="222222"/>
              </w:rPr>
              <w:t xml:space="preserve"> if needed). </w:t>
            </w:r>
          </w:p>
          <w:p w:rsidR="00C57169" w:rsidRDefault="00AF2171" w14:paraId="53DA9B1A" w14:textId="5DD74CF8">
            <w:pPr>
              <w:spacing w:after="160"/>
            </w:pPr>
            <w:r>
              <w:object w:dxaOrig="11000" w:dyaOrig="5520" w14:anchorId="047D27B0">
                <v:shape id="_x0000_i1028" style="width:423.75pt;height:213pt" o:ole="" type="#_x0000_t75">
                  <v:imagedata o:title="" r:id="rId14"/>
                </v:shape>
                <o:OLEObject Type="Embed" ProgID="CHEMDOODLEOLE.ChemDoodleEmbeddedObject.1" ShapeID="_x0000_i1028" DrawAspect="Content" ObjectID="_1847009765" r:id="rId15"/>
              </w:object>
            </w:r>
          </w:p>
          <w:p w:rsidRPr="00C57169" w:rsidR="00C57169" w:rsidP="00C57169" w:rsidRDefault="00C57169" w14:paraId="79F8BECD" w14:textId="77777777">
            <w:pPr>
              <w:spacing w:after="40"/>
              <w:jc w:val="center"/>
              <w:rPr>
                <w:b/>
                <w:color w:val="222222"/>
                <w:sz w:val="19"/>
              </w:rPr>
            </w:pPr>
            <w:r w:rsidRPr="00C57169">
              <w:rPr>
                <w:b/>
                <w:color w:val="222222"/>
                <w:sz w:val="19"/>
              </w:rPr>
              <w:t>Scheme D — carbamate swap on the piperidine nitrogen</w:t>
            </w:r>
          </w:p>
          <w:p w:rsidRPr="00C57169" w:rsidR="00C57169" w:rsidP="00C57169" w:rsidRDefault="00C57169" w14:paraId="56BCA858" w14:textId="2CFE923F">
            <w:pPr>
              <w:rPr>
                <w:i/>
                <w:color w:val="707070"/>
                <w:sz w:val="19"/>
              </w:rPr>
            </w:pPr>
            <w:r w:rsidRPr="00C57169">
              <w:rPr>
                <w:i/>
                <w:color w:val="707070"/>
                <w:sz w:val="19"/>
              </w:rPr>
              <w:t xml:space="preserve">Compound of formula (I) with Boc on the piperidine nitrogen → (HCl, 1 M in </w:t>
            </w:r>
            <w:proofErr w:type="spellStart"/>
            <w:r w:rsidRPr="00C57169">
              <w:rPr>
                <w:i/>
                <w:color w:val="707070"/>
                <w:sz w:val="19"/>
              </w:rPr>
              <w:t>Et₂O</w:t>
            </w:r>
            <w:proofErr w:type="spellEnd"/>
            <w:r w:rsidRPr="00C57169">
              <w:rPr>
                <w:i/>
                <w:color w:val="707070"/>
                <w:sz w:val="19"/>
              </w:rPr>
              <w:t>, THF, RT) → free piperidine NH → (Cl–C(=O)–O–R</w:t>
            </w:r>
            <w:r w:rsidRPr="0082098B" w:rsidR="0082098B">
              <w:rPr>
                <w:i/>
                <w:color w:val="707070"/>
                <w:sz w:val="19"/>
                <w:vertAlign w:val="superscript"/>
              </w:rPr>
              <w:t>6</w:t>
            </w:r>
            <w:r w:rsidRPr="00C57169">
              <w:rPr>
                <w:i/>
                <w:color w:val="707070"/>
                <w:sz w:val="19"/>
              </w:rPr>
              <w:t xml:space="preserve">, </w:t>
            </w:r>
            <w:proofErr w:type="spellStart"/>
            <w:r w:rsidRPr="00C57169">
              <w:rPr>
                <w:i/>
                <w:color w:val="707070"/>
                <w:sz w:val="19"/>
              </w:rPr>
              <w:t>Et₃N</w:t>
            </w:r>
            <w:proofErr w:type="spellEnd"/>
            <w:r w:rsidRPr="00C57169">
              <w:rPr>
                <w:i/>
                <w:color w:val="707070"/>
                <w:sz w:val="19"/>
              </w:rPr>
              <w:t>, DCM) → compound of formula (I) bearing the new carbamate; this is how Example 19 was made from Example 7.</w:t>
            </w:r>
          </w:p>
          <w:p w:rsidR="00D51DA9" w:rsidRDefault="00C57169" w14:paraId="0439E226" w14:textId="2FD7869F">
            <w:pPr>
              <w:spacing w:after="0"/>
            </w:pPr>
            <w:r w:rsidRPr="00E53A5D">
              <w:rPr>
                <w:color w:val="222222"/>
                <w:lang w:val="en-GB"/>
              </w:rPr>
              <w:t>For Examples 1–19 specifically, only the mixed-anhydride amide coupling</w:t>
            </w:r>
            <w:r>
              <w:rPr>
                <w:color w:val="222222"/>
                <w:szCs w:val="21"/>
                <w:lang w:val="en-GB" w:eastAsia="en-GB" w:bidi="en-GB"/>
              </w:rPr>
              <w:t>, the N-methylation (Example 10),</w:t>
            </w:r>
            <w:r w:rsidRPr="00E53A5D">
              <w:rPr>
                <w:color w:val="222222"/>
                <w:lang w:val="en-GB"/>
              </w:rPr>
              <w:t xml:space="preserve"> and the carbamate-swap route </w:t>
            </w:r>
            <w:r>
              <w:rPr>
                <w:color w:val="222222"/>
                <w:szCs w:val="21"/>
                <w:lang w:val="en-GB" w:eastAsia="en-GB" w:bidi="en-GB"/>
              </w:rPr>
              <w:t xml:space="preserve">(Example 19, Scheme D) </w:t>
            </w:r>
            <w:r w:rsidRPr="00E53A5D">
              <w:rPr>
                <w:color w:val="222222"/>
                <w:lang w:val="en-GB"/>
              </w:rPr>
              <w:t>were actually used — see Section 5.</w:t>
            </w:r>
          </w:p>
        </w:tc>
      </w:tr>
    </w:tbl>
    <w:p w:rsidR="00D51DA9" w:rsidRDefault="00D51DA9" w14:paraId="58A04CDA" w14:textId="77777777">
      <w:pP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17"/>
      </w:tblGrid>
      <w:tr w:rsidR="00D51DA9" w14:paraId="5EA08430" w14:textId="77777777">
        <w:tc>
          <w:tcPr>
            <w:tcW w:w="9317" w:type="dxa"/>
            <w:shd w:val="clear" w:color="auto" w:fill="E8ECEF"/>
            <w:tcMar>
              <w:top w:w="90" w:type="dxa"/>
              <w:left w:w="160" w:type="dxa"/>
              <w:bottom w:w="90" w:type="dxa"/>
              <w:right w:w="160" w:type="dxa"/>
            </w:tcMar>
          </w:tcPr>
          <w:p w:rsidR="00D51DA9" w:rsidRDefault="00000000" w14:paraId="18B12336" w14:textId="22D28C7F">
            <w:r>
              <w:rPr>
                <w:b/>
                <w:color w:val="1F3B57"/>
                <w:sz w:val="22"/>
              </w:rPr>
              <w:t>5. SPECIFIC EXAMPLES</w:t>
            </w:r>
          </w:p>
        </w:tc>
      </w:tr>
      <w:tr w:rsidR="00D51DA9" w14:paraId="3EF72B39" w14:textId="77777777">
        <w:tc>
          <w:tcPr>
            <w:tcW w:w="9317" w:type="dxa"/>
            <w:tcMar>
              <w:top w:w="140" w:type="dxa"/>
              <w:left w:w="160" w:type="dxa"/>
              <w:bottom w:w="140" w:type="dxa"/>
              <w:right w:w="160" w:type="dxa"/>
            </w:tcMar>
          </w:tcPr>
          <w:p w:rsidRPr="00AF2171" w:rsidR="00C57169" w:rsidP="00AF2171" w:rsidRDefault="00C57169" w14:paraId="1D20B2B5" w14:textId="77777777">
            <w:pPr>
              <w:spacing w:after="160"/>
              <w:rPr>
                <w:color w:val="222222"/>
              </w:rPr>
            </w:pPr>
            <w:r w:rsidRPr="00AF2171">
              <w:rPr>
                <w:b/>
                <w:bCs/>
                <w:color w:val="222222"/>
              </w:rPr>
              <w:t>Intermediate [INT-A]</w:t>
            </w:r>
            <w:r w:rsidRPr="00AF2171">
              <w:rPr>
                <w:color w:val="222222"/>
              </w:rPr>
              <w:t xml:space="preserve"> — tert-butyl 4-(2-aminothiazol-5-yl)piperidine-1-carboxylate: 4-(2-oxoethyl)piperidine-1-carboxylic acid tert-butyl ester (2 g) in THF (50 mL), ice bath, treat with </w:t>
            </w:r>
            <w:proofErr w:type="spellStart"/>
            <w:r w:rsidRPr="00AF2171">
              <w:rPr>
                <w:color w:val="222222"/>
              </w:rPr>
              <w:t>phenyltrimethylammonium</w:t>
            </w:r>
            <w:proofErr w:type="spellEnd"/>
            <w:r w:rsidRPr="00AF2171">
              <w:rPr>
                <w:color w:val="222222"/>
              </w:rPr>
              <w:t xml:space="preserve"> tribromide (3.31 g), stir 50 min. Quench with water, extract into DCM (3 × 50 mL), dry, filter, concentrate. Take the residue up in ethanol (100 mL), add thiourea (1.34 g), heat 2 h at 80 °C. Cool, concentrate, redissolve in DCM, wash with aq. </w:t>
            </w:r>
            <w:proofErr w:type="spellStart"/>
            <w:r w:rsidRPr="00AF2171">
              <w:rPr>
                <w:color w:val="222222"/>
              </w:rPr>
              <w:t>NaHCO</w:t>
            </w:r>
            <w:proofErr w:type="spellEnd"/>
            <w:r w:rsidRPr="00AF2171">
              <w:rPr>
                <w:color w:val="222222"/>
              </w:rPr>
              <w:t>₃, dry, concentrate. Gives [INT-A], 1.6 g. LCMS: RT 1.3 min, [M+H]⁺ 284.</w:t>
            </w:r>
          </w:p>
          <w:p w:rsidRPr="00AF2171" w:rsidR="00C57169" w:rsidP="00AF2171" w:rsidRDefault="00C57169" w14:paraId="0A74906B" w14:textId="0C9F2A6C">
            <w:pPr>
              <w:spacing w:after="160"/>
              <w:rPr>
                <w:color w:val="222222"/>
              </w:rPr>
            </w:pPr>
            <w:r w:rsidRPr="00AF2171">
              <w:rPr>
                <w:b/>
                <w:bCs/>
                <w:color w:val="222222"/>
              </w:rPr>
              <w:t>Example 1</w:t>
            </w:r>
            <w:r w:rsidRPr="00AF2171">
              <w:rPr>
                <w:color w:val="222222"/>
              </w:rPr>
              <w:t>: 6-chloropyridine-2-carboxylic acid (28 mg) + N-</w:t>
            </w:r>
            <w:proofErr w:type="spellStart"/>
            <w:r w:rsidRPr="00AF2171">
              <w:rPr>
                <w:color w:val="222222"/>
              </w:rPr>
              <w:t>methylmorpholine</w:t>
            </w:r>
            <w:proofErr w:type="spellEnd"/>
            <w:r w:rsidRPr="00AF2171">
              <w:rPr>
                <w:color w:val="222222"/>
              </w:rPr>
              <w:t xml:space="preserve"> (41 mg) in DCM (1 mL), add isobutyl chloroformate (24 mg), stir 1 h to form the mixed anhydride. Add [INT-A] (50 mg), stir overnight at RT. Concentrate, purify by prep HPLC. UPLCMS: RT 1.36 min, M⁺ 423.</w:t>
            </w:r>
          </w:p>
          <w:p w:rsidRPr="00AF2171" w:rsidR="00C57169" w:rsidP="00AF2171" w:rsidRDefault="0082098B" w14:paraId="34D50801" w14:textId="655BE575">
            <w:pPr>
              <w:spacing w:after="160"/>
              <w:rPr>
                <w:color w:val="222222"/>
              </w:rPr>
            </w:pPr>
            <w:r w:rsidRPr="0082098B">
              <w:rPr>
                <w:b/>
                <w:bCs/>
                <w:color w:val="222222"/>
              </w:rPr>
              <w:t>Examples 2–9 and 11–18</w:t>
            </w:r>
            <w:r w:rsidRPr="00AF2171" w:rsidR="00C57169">
              <w:rPr>
                <w:b/>
                <w:bCs/>
                <w:color w:val="222222"/>
              </w:rPr>
              <w:t>:</w:t>
            </w:r>
            <w:r w:rsidRPr="00AF2171" w:rsidR="00C57169">
              <w:rPr>
                <w:color w:val="222222"/>
              </w:rPr>
              <w:t xml:space="preserve"> </w:t>
            </w:r>
            <w:r w:rsidRPr="00EB5325" w:rsidR="00EB5325">
              <w:rPr>
                <w:color w:val="222222"/>
              </w:rPr>
              <w:t>same mixed-anhydride method as Example 1 — just swap in the corresponding carboxylic acid for each and couple onto [INT-A] the same way</w:t>
            </w:r>
            <w:r w:rsidRPr="00AF2171" w:rsidR="00C57169">
              <w:rPr>
                <w:color w:val="222222"/>
              </w:rPr>
              <w:t>.</w:t>
            </w:r>
          </w:p>
          <w:p w:rsidRPr="00AF2171" w:rsidR="00C57169" w:rsidP="00AF2171" w:rsidRDefault="00C57169" w14:paraId="6BA0CB81" w14:textId="3F1DCAE8">
            <w:pPr>
              <w:spacing w:after="160"/>
              <w:rPr>
                <w:color w:val="222222"/>
              </w:rPr>
            </w:pPr>
            <w:r w:rsidRPr="00AF2171">
              <w:rPr>
                <w:b/>
                <w:bCs/>
                <w:color w:val="222222"/>
              </w:rPr>
              <w:t>Example 10 (N-methylation):</w:t>
            </w:r>
            <w:r w:rsidRPr="00AF2171">
              <w:rPr>
                <w:color w:val="222222"/>
              </w:rPr>
              <w:t xml:space="preserve"> </w:t>
            </w:r>
            <w:r w:rsidRPr="00EB5325" w:rsidR="00EB5325">
              <w:rPr>
                <w:color w:val="222222"/>
              </w:rPr>
              <w:t>couple [INT-A] with 4-(</w:t>
            </w:r>
            <w:proofErr w:type="spellStart"/>
            <w:r w:rsidRPr="00EB5325" w:rsidR="00EB5325">
              <w:rPr>
                <w:color w:val="222222"/>
              </w:rPr>
              <w:t>methanesulfonylmethyl</w:t>
            </w:r>
            <w:proofErr w:type="spellEnd"/>
            <w:r w:rsidRPr="00EB5325" w:rsidR="00EB5325">
              <w:rPr>
                <w:color w:val="222222"/>
              </w:rPr>
              <w:t xml:space="preserve">)benzoic acid by the mixed-anhydride method above to give the corresponding secondary amide (not itself one of the examples), </w:t>
            </w:r>
            <w:r w:rsidRPr="00EB5325" w:rsidR="00EB5325">
              <w:rPr>
                <w:color w:val="222222"/>
              </w:rPr>
              <w:t xml:space="preserve">then treat with </w:t>
            </w:r>
            <w:proofErr w:type="spellStart"/>
            <w:r w:rsidRPr="00EB5325" w:rsidR="00EB5325">
              <w:rPr>
                <w:color w:val="222222"/>
              </w:rPr>
              <w:t>NaH</w:t>
            </w:r>
            <w:proofErr w:type="spellEnd"/>
            <w:r w:rsidRPr="00EB5325" w:rsidR="00EB5325">
              <w:rPr>
                <w:color w:val="222222"/>
              </w:rPr>
              <w:t xml:space="preserve"> in DMF, 0 °C to RT, followed by methyl iodide, to give the N-methyl amide</w:t>
            </w:r>
            <w:r w:rsidRPr="00AF2171">
              <w:rPr>
                <w:color w:val="222222"/>
              </w:rPr>
              <w:t>.</w:t>
            </w:r>
          </w:p>
          <w:p w:rsidRPr="00AF2171" w:rsidR="00C57169" w:rsidP="00AF2171" w:rsidRDefault="00C57169" w14:paraId="12ABF619" w14:textId="7D54C0FF">
            <w:pPr>
              <w:spacing w:after="160"/>
              <w:rPr>
                <w:color w:val="222222"/>
              </w:rPr>
            </w:pPr>
            <w:r w:rsidRPr="00AF2171">
              <w:rPr>
                <w:b/>
                <w:bCs/>
                <w:color w:val="222222"/>
              </w:rPr>
              <w:t>Example 19 (Scheme D):</w:t>
            </w:r>
            <w:r w:rsidRPr="00AF2171">
              <w:rPr>
                <w:color w:val="222222"/>
              </w:rPr>
              <w:t xml:space="preserve"> take the Example 7 tert-butyl carbamate (180 mg), strip the Boc with HCl (6 mL, 1 M in ether) in THF, stir overnight at RT, concentrate. Redissolve residue in DCM (3 mL), add triethylamine (0.2 mL) and isopropyl chloroformate (0.2 mL, 1 M in toluene), stir 50 min. Add a few drops of 4 N aq. NaOH, stir 2 h, neutralise with dilute HCl, concentrate, purify by flash chromatography (heptane/</w:t>
            </w:r>
            <w:proofErr w:type="spellStart"/>
            <w:r w:rsidRPr="00AF2171">
              <w:rPr>
                <w:color w:val="222222"/>
              </w:rPr>
              <w:t>EtOAc</w:t>
            </w:r>
            <w:proofErr w:type="spellEnd"/>
            <w:r w:rsidRPr="00AF2171">
              <w:rPr>
                <w:color w:val="222222"/>
              </w:rPr>
              <w:t>). Gives 2.8 mg. UPLCMS: RT 1.15 min, [M+H]⁺ 452.</w:t>
            </w:r>
          </w:p>
          <w:p w:rsidRPr="00AF2171" w:rsidR="00D51DA9" w:rsidP="00AF2171" w:rsidRDefault="00C57169" w14:paraId="7FF040E9" w14:textId="6A0CD5A7">
            <w:pPr>
              <w:spacing w:after="160"/>
              <w:rPr>
                <w:color w:val="222222"/>
              </w:rPr>
            </w:pPr>
            <w:r w:rsidRPr="00AF2171">
              <w:rPr>
                <w:color w:val="222222"/>
              </w:rPr>
              <w:t>Retention times and mass ions for all 19 final compounds are recorded in our internal analytical data tables. Full structures, IUPAC names, SMILES, and GPR119 potency ratings are in the companion spreadsheet referenced above.</w:t>
            </w:r>
          </w:p>
        </w:tc>
      </w:tr>
    </w:tbl>
    <w:p w:rsidR="00D51DA9" w:rsidRDefault="00D51DA9" w14:paraId="2B41F7DC" w14:textId="77777777">
      <w:pP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17"/>
      </w:tblGrid>
      <w:tr w:rsidR="00D51DA9" w14:paraId="37D32ADA" w14:textId="77777777">
        <w:tc>
          <w:tcPr>
            <w:tcW w:w="9317" w:type="dxa"/>
            <w:shd w:val="clear" w:color="auto" w:fill="E8ECEF"/>
            <w:tcMar>
              <w:top w:w="90" w:type="dxa"/>
              <w:left w:w="160" w:type="dxa"/>
              <w:bottom w:w="90" w:type="dxa"/>
              <w:right w:w="160" w:type="dxa"/>
            </w:tcMar>
          </w:tcPr>
          <w:p w:rsidR="00D51DA9" w:rsidRDefault="00000000" w14:paraId="1CCE77B5" w14:textId="1E9C68E6">
            <w:r>
              <w:rPr>
                <w:b/>
                <w:color w:val="1F3B57"/>
                <w:sz w:val="22"/>
              </w:rPr>
              <w:t xml:space="preserve">6. BIOLOGICAL AND ANIMAL </w:t>
            </w:r>
            <w:r w:rsidR="006F18A0">
              <w:rPr>
                <w:b/>
                <w:color w:val="1F3B57"/>
                <w:sz w:val="22"/>
              </w:rPr>
              <w:t>DATA</w:t>
            </w:r>
          </w:p>
        </w:tc>
      </w:tr>
      <w:tr w:rsidR="00D51DA9" w14:paraId="2C9D1703" w14:textId="77777777">
        <w:tc>
          <w:tcPr>
            <w:tcW w:w="9317" w:type="dxa"/>
            <w:tcMar>
              <w:top w:w="140" w:type="dxa"/>
              <w:left w:w="160" w:type="dxa"/>
              <w:bottom w:w="140" w:type="dxa"/>
              <w:right w:w="160" w:type="dxa"/>
            </w:tcMar>
          </w:tcPr>
          <w:p w:rsidR="00D51DA9" w:rsidRDefault="00000000" w14:paraId="4E234A6E" w14:textId="77777777">
            <w:pPr>
              <w:spacing w:after="160"/>
            </w:pPr>
            <w:r>
              <w:rPr>
                <w:b/>
                <w:color w:val="222222"/>
              </w:rPr>
              <w:t>Cell line:</w:t>
            </w:r>
            <w:r>
              <w:rPr>
                <w:color w:val="222222"/>
              </w:rPr>
              <w:t xml:space="preserve"> human GPR119 cDNA, cloned from a human pancreas cDNA library into a tetracycline-inducible expression vector, N-terminally FLAG-tagged, stably expressed in CHO-T-Rex cells (lipofectamine transfection, antibiotic selection). Induced with tetracycline (0.01 µg/mL, 24 h) before assay.</w:t>
            </w:r>
          </w:p>
          <w:p w:rsidR="00D51DA9" w:rsidRDefault="00000000" w14:paraId="3AEB4836" w14:textId="77777777">
            <w:pPr>
              <w:spacing w:after="160"/>
            </w:pPr>
            <w:r>
              <w:rPr>
                <w:b/>
                <w:color w:val="222222"/>
              </w:rPr>
              <w:t>Functional readout:</w:t>
            </w:r>
            <w:r>
              <w:rPr>
                <w:color w:val="222222"/>
              </w:rPr>
              <w:t xml:space="preserve"> cAMP </w:t>
            </w:r>
            <w:proofErr w:type="spellStart"/>
            <w:r>
              <w:rPr>
                <w:color w:val="222222"/>
              </w:rPr>
              <w:t>ALPHAscreen</w:t>
            </w:r>
            <w:proofErr w:type="spellEnd"/>
            <w:r>
              <w:rPr>
                <w:color w:val="222222"/>
              </w:rPr>
              <w:t>-type assay — biotinylated cAMP competes with cellular cAMP for anti-cAMP-antibody acceptor beads; donor/acceptor bead proximity on laser excitation gives a luminescent signal inversely related to receptor-driven cAMP production. Run in 384-well plates, 15,000 cells/well, with saturating-agonist and DMSO control columns on every plate to set top/bottom of the curve. EC₅₀ from the concentration-response curves.</w:t>
            </w:r>
          </w:p>
          <w:p w:rsidR="00D51DA9" w:rsidRDefault="00000000" w14:paraId="6F3E08D2" w14:textId="77777777">
            <w:pPr>
              <w:spacing w:after="160"/>
            </w:pPr>
            <w:r>
              <w:rPr>
                <w:b/>
                <w:color w:val="222222"/>
              </w:rPr>
              <w:t>Counter-screen:</w:t>
            </w:r>
            <w:r>
              <w:rPr>
                <w:color w:val="222222"/>
              </w:rPr>
              <w:t xml:space="preserve"> every compound also run against the GLP1 receptor on the same cAMP platform, to knock out anything hitting via a different pathway, acting non-selectively, or just quenching the assay.</w:t>
            </w:r>
          </w:p>
          <w:p w:rsidR="00D51DA9" w:rsidRDefault="00000000" w14:paraId="39E54BE3" w14:textId="77777777">
            <w:pPr>
              <w:spacing w:after="0"/>
            </w:pPr>
            <w:r>
              <w:rPr>
                <w:b/>
                <w:color w:val="222222"/>
              </w:rPr>
              <w:t>In vivo:</w:t>
            </w:r>
            <w:r>
              <w:rPr>
                <w:color w:val="222222"/>
              </w:rPr>
              <w:t xml:space="preserve"> none run on Examples 1–19 to date.</w:t>
            </w:r>
          </w:p>
        </w:tc>
      </w:tr>
    </w:tbl>
    <w:p w:rsidR="00D51DA9" w:rsidRDefault="00D51DA9" w14:paraId="218895E0" w14:textId="77777777">
      <w:pPr>
        <w:spacing w:after="280"/>
      </w:pPr>
    </w:p>
    <w:tbl>
      <w:tblPr>
        <w:tblW w:w="0" w:type="auto"/>
        <w:tblBorders>
          <w:top w:val="single" w:color="B9C0C6" w:sz="6" w:space="0"/>
          <w:left w:val="single" w:color="B9C0C6" w:sz="6" w:space="0"/>
          <w:bottom w:val="single" w:color="B9C0C6" w:sz="6" w:space="0"/>
          <w:right w:val="single" w:color="B9C0C6" w:sz="6" w:space="0"/>
          <w:insideH w:val="single" w:color="B9C0C6" w:sz="6" w:space="0"/>
          <w:insideV w:val="single" w:color="B9C0C6" w:sz="6" w:space="0"/>
        </w:tblBorders>
        <w:tblLook w:val="04A0" w:firstRow="1" w:lastRow="0" w:firstColumn="1" w:lastColumn="0" w:noHBand="0" w:noVBand="1"/>
      </w:tblPr>
      <w:tblGrid>
        <w:gridCol w:w="9317"/>
      </w:tblGrid>
      <w:tr w:rsidR="00D51DA9" w14:paraId="2E636D18" w14:textId="77777777">
        <w:tc>
          <w:tcPr>
            <w:tcW w:w="9317" w:type="dxa"/>
            <w:shd w:val="clear" w:color="auto" w:fill="E8ECEF"/>
            <w:tcMar>
              <w:top w:w="90" w:type="dxa"/>
              <w:left w:w="160" w:type="dxa"/>
              <w:bottom w:w="90" w:type="dxa"/>
              <w:right w:w="160" w:type="dxa"/>
            </w:tcMar>
          </w:tcPr>
          <w:p w:rsidR="00D51DA9" w:rsidRDefault="00000000" w14:paraId="0FEA664E" w14:textId="78145E44">
            <w:r>
              <w:rPr>
                <w:b/>
                <w:color w:val="1F3B57"/>
                <w:sz w:val="22"/>
              </w:rPr>
              <w:t xml:space="preserve">7. </w:t>
            </w:r>
            <w:r w:rsidR="006F18A0">
              <w:rPr>
                <w:b/>
                <w:color w:val="1F3B57"/>
                <w:sz w:val="22"/>
              </w:rPr>
              <w:t>FINAL REMARKS</w:t>
            </w:r>
          </w:p>
        </w:tc>
      </w:tr>
      <w:tr w:rsidR="00D51DA9" w14:paraId="16F6DBD5" w14:textId="77777777">
        <w:tc>
          <w:tcPr>
            <w:tcW w:w="9317" w:type="dxa"/>
            <w:tcMar>
              <w:top w:w="140" w:type="dxa"/>
              <w:left w:w="160" w:type="dxa"/>
              <w:bottom w:w="140" w:type="dxa"/>
              <w:right w:w="160" w:type="dxa"/>
            </w:tcMar>
          </w:tcPr>
          <w:p w:rsidR="00D51DA9" w:rsidRDefault="00000000" w14:paraId="03CB6A14" w14:textId="49583FF9">
            <w:pPr>
              <w:spacing w:after="160"/>
            </w:pPr>
            <w:r>
              <w:rPr>
                <w:color w:val="222222"/>
              </w:rPr>
              <w:t xml:space="preserve">Best leads: Examples 7, 9, 10, 14, 18, 19 — all Class A, </w:t>
            </w:r>
            <w:r w:rsidRPr="00EB5325" w:rsidR="00EB5325">
              <w:rPr>
                <w:color w:val="222222"/>
              </w:rPr>
              <w:t>all straightforward to make from [INT-A] via the mixed-anhydride coupling (with one extra step for 10, the N-methylation, and for 19, the carbamate swap), no exotic chemistry needed</w:t>
            </w:r>
          </w:p>
          <w:p w:rsidR="00D51DA9" w:rsidRDefault="00000000" w14:paraId="2DB137E4" w14:textId="77777777">
            <w:pPr>
              <w:spacing w:after="160"/>
            </w:pPr>
            <w:r>
              <w:rPr>
                <w:color w:val="222222"/>
              </w:rPr>
              <w:t>The SAR is pretty clean on the phenyl series: put a sulfone, sulfonamide, or sulfonylmethyl group para on the benzoyl ring and you get Class A every time (7, 9, 10, 14, 19). Acetamido (6), carbamoyl (13), and triazolyl (18) para-substituents also land Class A. Nitro substituents correlate with reduced potency (5, 15 → Class C).</w:t>
            </w:r>
          </w:p>
          <w:p w:rsidR="00D51DA9" w:rsidRDefault="00000000" w14:paraId="02B9E945" w14:textId="77777777">
            <w:pPr>
              <w:spacing w:after="160"/>
            </w:pPr>
            <w:r>
              <w:rPr>
                <w:color w:val="222222"/>
              </w:rPr>
              <w:t>Switching phenyl for pyridyl mostly costs potency (11, 12 → Class C), but Example 16 shows that's rescued if the pyridyl ring carries the same sulfone that works on phenyl — so the sulfone is the potency driver, not the ring choice. The oxadiazole/triazole comparison (17 vs. 18) is the one surprise: two similar 5-membered heteroaryl substituents at the same position, one Class C and one Class A, so that swap isn't a safe assumption to carry forward without testing.</w:t>
            </w:r>
          </w:p>
          <w:p w:rsidR="00D51DA9" w:rsidRDefault="00000000" w14:paraId="31369B76" w14:textId="77777777">
            <w:pPr>
              <w:spacing w:after="0"/>
            </w:pPr>
            <w:r>
              <w:rPr>
                <w:color w:val="222222"/>
              </w:rPr>
              <w:t>On the piperidine side, tert-butyl vs. isopropyl carbamate (7 vs. 19) makes no difference to potency — that position looks tolerant, giving room to adjust for other properties (e.g. physicochemical) without a potency penalty.</w:t>
            </w:r>
          </w:p>
        </w:tc>
      </w:tr>
    </w:tbl>
    <w:p w:rsidR="00D51DA9" w:rsidRDefault="00D51DA9" w14:paraId="175C3C52" w14:textId="77777777">
      <w:pPr>
        <w:spacing w:after="280"/>
      </w:pPr>
    </w:p>
    <w:sectPr w:rsidR="00D51DA9" w:rsidSect="00034616">
      <w:headerReference w:type="default" r:id="rId16"/>
      <w:footerReference w:type="default" r:id="rId17"/>
      <w:pgSz w:w="11909" w:h="16834" w:orient="portrait"/>
      <w:pgMar w:top="1296" w:right="1296" w:bottom="1152" w:left="1296" w:header="576"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856EE" w:rsidRDefault="009856EE" w14:paraId="34DACA0D" w14:textId="77777777">
      <w:pPr>
        <w:spacing w:after="0" w:line="240" w:lineRule="auto"/>
      </w:pPr>
      <w:r>
        <w:separator/>
      </w:r>
    </w:p>
  </w:endnote>
  <w:endnote w:type="continuationSeparator" w:id="0">
    <w:p w:rsidR="009856EE" w:rsidRDefault="009856EE" w14:paraId="600E0C7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Carlit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F18A0" w:rsidR="00D51DA9" w:rsidRDefault="00000000" w14:paraId="04F5957F" w14:textId="77777777">
    <w:pPr>
      <w:pStyle w:val="Footer"/>
      <w:jc w:val="center"/>
      <w:rPr>
        <w:b/>
        <w:bCs/>
        <w:color w:val="707070"/>
        <w:sz w:val="16"/>
      </w:rPr>
    </w:pPr>
    <w:r w:rsidRPr="006F18A0">
      <w:rPr>
        <w:b/>
        <w:bCs/>
        <w:color w:val="707070"/>
        <w:sz w:val="16"/>
      </w:rPr>
      <w:t>Internal Invention Disclosure Form — Confidential</w:t>
    </w:r>
  </w:p>
  <w:p w:rsidR="006F18A0" w:rsidRDefault="006F18A0" w14:paraId="3BA4AEA6" w14:textId="77777777">
    <w:pPr>
      <w:pStyle w:val="Footer"/>
      <w:jc w:val="center"/>
    </w:pPr>
  </w:p>
  <w:p w:rsidR="00D51DA9" w:rsidRDefault="00000000" w14:paraId="5C74EC7F" w14:textId="77777777">
    <w:pPr>
      <w:spacing w:before="40"/>
      <w:jc w:val="center"/>
    </w:pPr>
    <w:r>
      <w:rPr>
        <w:color w:val="707070"/>
        <w:sz w:val="14"/>
      </w:rPr>
      <w:t>© 2026 FICPI. All rights reserved. Prepared for the FICPI AI Patent Drafting Masterclass, Budapest, 16 September 2026. For the use of registered delegates only; not for further reproduction or distribution without permission.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856EE" w:rsidRDefault="009856EE" w14:paraId="1F6D0E6F" w14:textId="77777777">
      <w:pPr>
        <w:spacing w:after="0" w:line="240" w:lineRule="auto"/>
      </w:pPr>
      <w:r>
        <w:separator/>
      </w:r>
    </w:p>
  </w:footnote>
  <w:footnote w:type="continuationSeparator" w:id="0">
    <w:p w:rsidR="009856EE" w:rsidRDefault="009856EE" w14:paraId="7677CED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51DA9" w:rsidRDefault="00D51DA9" w14:paraId="00ADEDB8" w14:textId="77777777">
    <w:pPr>
      <w:pStyle w:val="Header"/>
    </w:pPr>
  </w:p>
  <w:tbl>
    <w:tblPr>
      <w:tblW w:w="0" w:type="auto"/>
      <w:jc w:val="center"/>
      <w:tblLook w:val="04A0" w:firstRow="1" w:lastRow="0" w:firstColumn="1" w:lastColumn="0" w:noHBand="0" w:noVBand="1"/>
    </w:tblPr>
    <w:tblGrid>
      <w:gridCol w:w="4658"/>
      <w:gridCol w:w="4658"/>
    </w:tblGrid>
    <w:tr w:rsidR="00D51DA9" w14:paraId="6239ED53" w14:textId="77777777">
      <w:trPr>
        <w:jc w:val="center"/>
      </w:trPr>
      <w:tc>
        <w:tcPr>
          <w:tcW w:w="4658" w:type="dxa"/>
        </w:tcPr>
        <w:p w:rsidR="00D51DA9" w:rsidRDefault="00000000" w14:paraId="2B85688A" w14:textId="77777777">
          <w:pPr>
            <w:spacing w:after="20"/>
          </w:pPr>
          <w:r>
            <w:rPr>
              <w:noProof/>
            </w:rPr>
            <w:drawing>
              <wp:inline distT="0" distB="0" distL="0" distR="0" wp14:anchorId="5D699DA7" wp14:editId="37D1F01A">
                <wp:extent cx="714531" cy="566928"/>
                <wp:effectExtent l="0" t="0" r="0" b="0"/>
                <wp:docPr id="654235014" name="Picture 654235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phi_logo.png"/>
                        <pic:cNvPicPr/>
                      </pic:nvPicPr>
                      <pic:blipFill>
                        <a:blip r:embed="rId1"/>
                        <a:stretch>
                          <a:fillRect/>
                        </a:stretch>
                      </pic:blipFill>
                      <pic:spPr>
                        <a:xfrm>
                          <a:off x="0" y="0"/>
                          <a:ext cx="714531" cy="566928"/>
                        </a:xfrm>
                        <a:prstGeom prst="rect">
                          <a:avLst/>
                        </a:prstGeom>
                      </pic:spPr>
                    </pic:pic>
                  </a:graphicData>
                </a:graphic>
              </wp:inline>
            </w:drawing>
          </w:r>
        </w:p>
        <w:p w:rsidR="00D51DA9" w:rsidRDefault="00000000" w14:paraId="38082E8E" w14:textId="77777777">
          <w:pPr>
            <w:spacing w:after="0"/>
          </w:pPr>
          <w:r>
            <w:rPr>
              <w:color w:val="707070"/>
              <w:sz w:val="17"/>
            </w:rPr>
            <w:t xml:space="preserve">1 </w:t>
          </w:r>
          <w:proofErr w:type="spellStart"/>
          <w:r>
            <w:rPr>
              <w:color w:val="707070"/>
              <w:sz w:val="17"/>
            </w:rPr>
            <w:t>Insulinplatz</w:t>
          </w:r>
          <w:proofErr w:type="spellEnd"/>
          <w:r>
            <w:rPr>
              <w:color w:val="707070"/>
              <w:sz w:val="17"/>
            </w:rPr>
            <w:t>, CH-4051 Basel, Switzerland</w:t>
          </w:r>
        </w:p>
      </w:tc>
      <w:tc>
        <w:tcPr>
          <w:tcW w:w="4658" w:type="dxa"/>
        </w:tcPr>
        <w:p w:rsidR="00D51DA9" w:rsidRDefault="00000000" w14:paraId="2CEEDA50" w14:textId="77777777">
          <w:pPr>
            <w:spacing w:after="0"/>
            <w:jc w:val="right"/>
          </w:pPr>
          <w:r>
            <w:rPr>
              <w:i/>
              <w:color w:val="707070"/>
              <w:sz w:val="17"/>
            </w:rPr>
            <w:t>Sweet ideas. Serious science.</w:t>
          </w:r>
        </w:p>
      </w:tc>
    </w:tr>
  </w:tbl>
  <w:p w:rsidR="00D51DA9" w:rsidRDefault="00D51DA9" w14:paraId="6352872E" w14:textId="77777777">
    <w:pPr>
      <w:pBdr>
        <w:bottom w:val="single" w:color="B9C0C6" w:sz="6" w:space="1"/>
      </w:pBdr>
      <w:spacing w:before="8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hint="default" w:ascii="Symbol" w:hAnsi="Symbol"/>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hint="default" w:ascii="Symbol" w:hAnsi="Symbol"/>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hint="default" w:ascii="Symbol" w:hAnsi="Symbol"/>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hint="default" w:ascii="Symbol" w:hAnsi="Symbol"/>
      </w:rPr>
    </w:lvl>
  </w:abstractNum>
  <w:num w:numId="1" w16cid:durableId="809782494">
    <w:abstractNumId w:val="8"/>
  </w:num>
  <w:num w:numId="2" w16cid:durableId="1650743553">
    <w:abstractNumId w:val="6"/>
  </w:num>
  <w:num w:numId="3" w16cid:durableId="2029793877">
    <w:abstractNumId w:val="5"/>
  </w:num>
  <w:num w:numId="4" w16cid:durableId="375546127">
    <w:abstractNumId w:val="4"/>
  </w:num>
  <w:num w:numId="5" w16cid:durableId="226845006">
    <w:abstractNumId w:val="7"/>
  </w:num>
  <w:num w:numId="6" w16cid:durableId="2014141663">
    <w:abstractNumId w:val="3"/>
  </w:num>
  <w:num w:numId="7" w16cid:durableId="114718763">
    <w:abstractNumId w:val="2"/>
  </w:num>
  <w:num w:numId="8" w16cid:durableId="1191797654">
    <w:abstractNumId w:val="1"/>
  </w:num>
  <w:num w:numId="9" w16cid:durableId="59713582">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A413D"/>
    <w:rsid w:val="000D1B5D"/>
    <w:rsid w:val="0015074B"/>
    <w:rsid w:val="002051F2"/>
    <w:rsid w:val="002119F1"/>
    <w:rsid w:val="0029639D"/>
    <w:rsid w:val="003018EB"/>
    <w:rsid w:val="00326F90"/>
    <w:rsid w:val="003D5CD3"/>
    <w:rsid w:val="006A272A"/>
    <w:rsid w:val="006F18A0"/>
    <w:rsid w:val="0082098B"/>
    <w:rsid w:val="0086769D"/>
    <w:rsid w:val="0089048A"/>
    <w:rsid w:val="008E26F9"/>
    <w:rsid w:val="00916F2A"/>
    <w:rsid w:val="00957B2D"/>
    <w:rsid w:val="009856EE"/>
    <w:rsid w:val="009C41F7"/>
    <w:rsid w:val="00AA1D8D"/>
    <w:rsid w:val="00AF2171"/>
    <w:rsid w:val="00B269FF"/>
    <w:rsid w:val="00B47730"/>
    <w:rsid w:val="00BE2BAD"/>
    <w:rsid w:val="00C57169"/>
    <w:rsid w:val="00C75886"/>
    <w:rsid w:val="00CB0664"/>
    <w:rsid w:val="00D51DA9"/>
    <w:rsid w:val="00EB5325"/>
    <w:rsid w:val="00EC74C2"/>
    <w:rsid w:val="00ED748F"/>
    <w:rsid w:val="00FC693F"/>
    <w:rsid w:val="2F0582BC"/>
    <w:rsid w:val="4B8677AA"/>
    <w:rsid w:val="62371F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D3C4452"/>
  <w14:defaultImageDpi w14:val="300"/>
  <w15:docId w15:val="{A0D4059E-EA62-144E-B12D-EBAE9F1A991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693F"/>
    <w:rPr>
      <w:rFonts w:ascii="Calibri" w:hAnsi="Calibri"/>
      <w:sz w:val="21"/>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styleId="HeaderChar" w:customStyle="1">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styleId="FooterChar" w:customStyle="1">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styleId="Heading1Char" w:customStyle="1">
    <w:name w:val="Heading 1 Char"/>
    <w:basedOn w:val="DefaultParagraphFont"/>
    <w:link w:val="Heading1"/>
    <w:uiPriority w:val="9"/>
    <w:rsid w:val="00FC693F"/>
    <w:rPr>
      <w:rFonts w:asciiTheme="majorHAnsi" w:hAnsiTheme="majorHAnsi" w:eastAsiaTheme="majorEastAsia" w:cstheme="majorBidi"/>
      <w:b/>
      <w:bCs/>
      <w:color w:val="365F91" w:themeColor="accent1" w:themeShade="BF"/>
      <w:sz w:val="28"/>
      <w:szCs w:val="28"/>
    </w:rPr>
  </w:style>
  <w:style w:type="character" w:styleId="Heading2Char" w:customStyle="1">
    <w:name w:val="Heading 2 Char"/>
    <w:basedOn w:val="DefaultParagraphFont"/>
    <w:link w:val="Heading2"/>
    <w:uiPriority w:val="9"/>
    <w:rsid w:val="00FC693F"/>
    <w:rPr>
      <w:rFonts w:asciiTheme="majorHAnsi" w:hAnsiTheme="majorHAnsi" w:eastAsiaTheme="majorEastAsia" w:cstheme="majorBidi"/>
      <w:b/>
      <w:bCs/>
      <w:color w:val="4F81BD" w:themeColor="accent1"/>
      <w:sz w:val="26"/>
      <w:szCs w:val="26"/>
    </w:rPr>
  </w:style>
  <w:style w:type="character" w:styleId="Heading3Char" w:customStyle="1">
    <w:name w:val="Heading 3 Char"/>
    <w:basedOn w:val="DefaultParagraphFont"/>
    <w:link w:val="Heading3"/>
    <w:uiPriority w:val="9"/>
    <w:rsid w:val="00FC693F"/>
    <w:rPr>
      <w:rFonts w:asciiTheme="majorHAnsi" w:hAnsiTheme="majorHAnsi" w:eastAsiaTheme="majorEastAsia" w:cstheme="majorBidi"/>
      <w:b/>
      <w:bCs/>
      <w:color w:val="4F81BD" w:themeColor="accent1"/>
    </w:rPr>
  </w:style>
  <w:style w:type="paragraph" w:styleId="Title">
    <w:name w:val="Title"/>
    <w:basedOn w:val="Normal"/>
    <w:next w:val="Normal"/>
    <w:link w:val="TitleCh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1">
    <w:name w:val="Title Char"/>
    <w:basedOn w:val="DefaultParagraphFont"/>
    <w:link w:val="Title"/>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SubtitleChar" w:customStyle="1">
    <w:name w:val="Subtitle Char"/>
    <w:basedOn w:val="DefaultParagraphFont"/>
    <w:link w:val="Subtitle"/>
    <w:uiPriority w:val="11"/>
    <w:rsid w:val="00FC693F"/>
    <w:rPr>
      <w:rFonts w:asciiTheme="majorHAnsi" w:hAnsiTheme="majorHAnsi" w:eastAsiaTheme="majorEastAsia"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styleId="BodyTextChar" w:customStyle="1">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styleId="BodyText2Char" w:customStyle="1">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styleId="BodyText3Char" w:customStyle="1">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croTextChar" w:customStyle="1">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styleId="QuoteChar" w:customStyle="1">
    <w:name w:val="Quote Char"/>
    <w:basedOn w:val="DefaultParagraphFont"/>
    <w:link w:val="Quote"/>
    <w:uiPriority w:val="29"/>
    <w:rsid w:val="00FC693F"/>
    <w:rPr>
      <w:i/>
      <w:iCs/>
      <w:color w:val="000000" w:themeColor="text1"/>
    </w:rPr>
  </w:style>
  <w:style w:type="character" w:styleId="Heading4Char" w:customStyle="1">
    <w:name w:val="Heading 4 Char"/>
    <w:basedOn w:val="DefaultParagraphFont"/>
    <w:link w:val="Heading4"/>
    <w:uiPriority w:val="9"/>
    <w:semiHidden/>
    <w:rsid w:val="00FC693F"/>
    <w:rPr>
      <w:rFonts w:asciiTheme="majorHAnsi" w:hAnsiTheme="majorHAnsi" w:eastAsiaTheme="majorEastAsia" w:cstheme="majorBidi"/>
      <w:b/>
      <w:bCs/>
      <w:i/>
      <w:iCs/>
      <w:color w:val="4F81BD" w:themeColor="accent1"/>
    </w:rPr>
  </w:style>
  <w:style w:type="character" w:styleId="Heading5Char" w:customStyle="1">
    <w:name w:val="Heading 5 Char"/>
    <w:basedOn w:val="DefaultParagraphFont"/>
    <w:link w:val="Heading5"/>
    <w:uiPriority w:val="9"/>
    <w:semiHidden/>
    <w:rsid w:val="00FC693F"/>
    <w:rPr>
      <w:rFonts w:asciiTheme="majorHAnsi" w:hAnsiTheme="majorHAnsi" w:eastAsiaTheme="majorEastAsia" w:cstheme="majorBidi"/>
      <w:color w:val="243F60" w:themeColor="accent1" w:themeShade="7F"/>
    </w:rPr>
  </w:style>
  <w:style w:type="character" w:styleId="Heading6Char" w:customStyle="1">
    <w:name w:val="Heading 6 Char"/>
    <w:basedOn w:val="DefaultParagraphFont"/>
    <w:link w:val="Heading6"/>
    <w:uiPriority w:val="9"/>
    <w:semiHidden/>
    <w:rsid w:val="00FC693F"/>
    <w:rPr>
      <w:rFonts w:asciiTheme="majorHAnsi" w:hAnsiTheme="majorHAnsi" w:eastAsiaTheme="majorEastAsia" w:cstheme="majorBidi"/>
      <w:i/>
      <w:iCs/>
      <w:color w:val="243F60" w:themeColor="accent1" w:themeShade="7F"/>
    </w:rPr>
  </w:style>
  <w:style w:type="character" w:styleId="Heading7Char" w:customStyle="1">
    <w:name w:val="Heading 7 Char"/>
    <w:basedOn w:val="DefaultParagraphFont"/>
    <w:link w:val="Heading7"/>
    <w:uiPriority w:val="9"/>
    <w:semiHidden/>
    <w:rsid w:val="00FC693F"/>
    <w:rPr>
      <w:rFonts w:asciiTheme="majorHAnsi" w:hAnsiTheme="majorHAnsi" w:eastAsiaTheme="majorEastAsia" w:cstheme="majorBidi"/>
      <w:i/>
      <w:iCs/>
      <w:color w:val="404040" w:themeColor="text1" w:themeTint="BF"/>
    </w:rPr>
  </w:style>
  <w:style w:type="character" w:styleId="Heading8Char" w:customStyle="1">
    <w:name w:val="Heading 8 Char"/>
    <w:basedOn w:val="DefaultParagraphFont"/>
    <w:link w:val="Heading8"/>
    <w:uiPriority w:val="9"/>
    <w:semiHidden/>
    <w:rsid w:val="00FC693F"/>
    <w:rPr>
      <w:rFonts w:asciiTheme="majorHAnsi" w:hAnsiTheme="majorHAnsi" w:eastAsiaTheme="majorEastAsia" w:cstheme="majorBidi"/>
      <w:color w:val="4F81BD" w:themeColor="accent1"/>
      <w:sz w:val="20"/>
      <w:szCs w:val="20"/>
    </w:rPr>
  </w:style>
  <w:style w:type="character" w:styleId="Heading9Char" w:customStyle="1">
    <w:name w:val="Heading 9 Char"/>
    <w:basedOn w:val="DefaultParagraphFont"/>
    <w:link w:val="Heading9"/>
    <w:uiPriority w:val="9"/>
    <w:semiHidden/>
    <w:rsid w:val="00FC693F"/>
    <w:rPr>
      <w:rFonts w:asciiTheme="majorHAnsi" w:hAnsiTheme="majorHAnsi" w:eastAsiaTheme="majorEastAsia"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IntenseQuoteChar" w:customStyle="1">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u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p" w:customStyle="1">
    <w:name w:val="p"/>
    <w:basedOn w:val="Normal"/>
    <w:rsid w:val="00C57169"/>
    <w:pPr>
      <w:spacing w:after="0" w:line="400" w:lineRule="atLeast"/>
    </w:pPr>
    <w:rPr>
      <w:rFonts w:ascii="Carlito" w:hAnsi="Carlito" w:eastAsia="Carlito" w:cs="Carli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&#65279;<?xml version="1.0" encoding="utf-8"?><Relationships xmlns="http://schemas.openxmlformats.org/package/2006/relationships"><Relationship Type="http://schemas.openxmlformats.org/officeDocument/2006/relationships/image" Target="media/image1.wmf" Id="rId8" /><Relationship Type="http://schemas.openxmlformats.org/officeDocument/2006/relationships/oleObject" Target="embeddings/oleObject3.bin" Id="rId13" /><Relationship Type="http://schemas.openxmlformats.org/officeDocument/2006/relationships/fontTable" Target="fontTable.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image" Target="media/image3.wmf" Id="rId12" /><Relationship Type="http://schemas.openxmlformats.org/officeDocument/2006/relationships/footer" Target="footer1.xml" Id="rId17" /><Relationship Type="http://schemas.openxmlformats.org/officeDocument/2006/relationships/numbering" Target="numbering.xml" Id="rId2" /><Relationship Type="http://schemas.openxmlformats.org/officeDocument/2006/relationships/header" Target="header1.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oleObject" Target="embeddings/oleObject2.bin" Id="rId11" /><Relationship Type="http://schemas.openxmlformats.org/officeDocument/2006/relationships/webSettings" Target="webSettings.xml" Id="rId5" /><Relationship Type="http://schemas.openxmlformats.org/officeDocument/2006/relationships/oleObject" Target="embeddings/oleObject4.bin" Id="rId15" /><Relationship Type="http://schemas.openxmlformats.org/officeDocument/2006/relationships/image" Target="media/image2.wmf" Id="rId10" /><Relationship Type="http://schemas.openxmlformats.org/officeDocument/2006/relationships/theme" Target="theme/theme1.xml" Id="rId19" /><Relationship Type="http://schemas.openxmlformats.org/officeDocument/2006/relationships/settings" Target="settings.xml" Id="rId4" /><Relationship Type="http://schemas.openxmlformats.org/officeDocument/2006/relationships/oleObject" Target="embeddings/oleObject1.bin" Id="rId9" /><Relationship Type="http://schemas.openxmlformats.org/officeDocument/2006/relationships/image" Target="media/image4.wmf" Id="rId14" /></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python-docx</dc:creator>
  <keywords/>
  <dc:description>generated by python-docx</dc:description>
  <lastModifiedBy>Julian Crump</lastModifiedBy>
  <revision>14</revision>
  <dcterms:created xsi:type="dcterms:W3CDTF">2013-12-23T23:15:00.0000000Z</dcterms:created>
  <dcterms:modified xsi:type="dcterms:W3CDTF">2026-07-31T13:34:58.1111839Z</dcterms:modified>
  <category/>
</coreProperties>
</file>